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30"/>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70"/>
        <w:gridCol w:w="1800"/>
        <w:gridCol w:w="270"/>
        <w:gridCol w:w="1710"/>
        <w:gridCol w:w="720"/>
        <w:gridCol w:w="270"/>
        <w:gridCol w:w="2430"/>
        <w:gridCol w:w="270"/>
        <w:gridCol w:w="4230"/>
      </w:tblGrid>
      <w:tr w:rsidR="00ED7D4F" w:rsidRPr="006A26BB" w:rsidTr="00ED7D4F">
        <w:trPr>
          <w:trHeight w:val="273"/>
        </w:trPr>
        <w:tc>
          <w:tcPr>
            <w:tcW w:w="3258" w:type="dxa"/>
            <w:tcBorders>
              <w:top w:val="nil"/>
              <w:left w:val="nil"/>
              <w:bottom w:val="nil"/>
              <w:right w:val="nil"/>
            </w:tcBorders>
            <w:shd w:val="clear" w:color="auto" w:fill="F4F3EC"/>
            <w:vAlign w:val="center"/>
          </w:tcPr>
          <w:p w:rsidR="00ED7D4F" w:rsidRPr="00ED7D4F" w:rsidRDefault="00ED7D4F" w:rsidP="00ED7D4F">
            <w:pPr>
              <w:pStyle w:val="Heading1"/>
              <w:jc w:val="center"/>
              <w:rPr>
                <w:rFonts w:ascii="Arial Black" w:hAnsi="Arial Black"/>
                <w:caps/>
                <w:sz w:val="19"/>
                <w:szCs w:val="19"/>
              </w:rPr>
            </w:pPr>
            <w:r w:rsidRPr="00ED7D4F">
              <w:rPr>
                <w:rFonts w:ascii="Arial Black" w:hAnsi="Arial Black"/>
                <w:caps/>
                <w:sz w:val="19"/>
                <w:szCs w:val="19"/>
              </w:rPr>
              <w:t>Public Health PROBLEM &amp; Program Purpose</w:t>
            </w:r>
          </w:p>
        </w:tc>
        <w:tc>
          <w:tcPr>
            <w:tcW w:w="27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p>
        </w:tc>
        <w:tc>
          <w:tcPr>
            <w:tcW w:w="180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r w:rsidRPr="00ED7D4F">
              <w:rPr>
                <w:rFonts w:ascii="Arial Black" w:hAnsi="Arial Black"/>
                <w:sz w:val="19"/>
                <w:szCs w:val="19"/>
              </w:rPr>
              <w:t>INPUTS</w:t>
            </w:r>
          </w:p>
        </w:tc>
        <w:tc>
          <w:tcPr>
            <w:tcW w:w="27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p>
        </w:tc>
        <w:tc>
          <w:tcPr>
            <w:tcW w:w="2430" w:type="dxa"/>
            <w:gridSpan w:val="2"/>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r w:rsidRPr="00ED7D4F">
              <w:rPr>
                <w:rFonts w:ascii="Arial Black" w:hAnsi="Arial Black"/>
                <w:sz w:val="19"/>
                <w:szCs w:val="19"/>
              </w:rPr>
              <w:t>ACTIVITIES</w:t>
            </w:r>
          </w:p>
        </w:tc>
        <w:tc>
          <w:tcPr>
            <w:tcW w:w="27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p>
        </w:tc>
        <w:tc>
          <w:tcPr>
            <w:tcW w:w="243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r w:rsidRPr="00ED7D4F">
              <w:rPr>
                <w:rFonts w:ascii="Arial Black" w:hAnsi="Arial Black"/>
                <w:sz w:val="19"/>
                <w:szCs w:val="19"/>
              </w:rPr>
              <w:t>OUTPUTS</w:t>
            </w:r>
          </w:p>
        </w:tc>
        <w:tc>
          <w:tcPr>
            <w:tcW w:w="270" w:type="dxa"/>
            <w:tcBorders>
              <w:top w:val="nil"/>
              <w:left w:val="nil"/>
              <w:bottom w:val="nil"/>
              <w:right w:val="nil"/>
            </w:tcBorders>
            <w:vAlign w:val="center"/>
          </w:tcPr>
          <w:p w:rsidR="00ED7D4F" w:rsidRPr="00ED7D4F" w:rsidRDefault="00ED7D4F" w:rsidP="00ED7D4F">
            <w:pPr>
              <w:pStyle w:val="Heading1"/>
              <w:jc w:val="center"/>
              <w:rPr>
                <w:rFonts w:ascii="Arial Black" w:hAnsi="Arial Black"/>
                <w:sz w:val="19"/>
                <w:szCs w:val="19"/>
              </w:rPr>
            </w:pPr>
          </w:p>
        </w:tc>
        <w:tc>
          <w:tcPr>
            <w:tcW w:w="4230" w:type="dxa"/>
            <w:tcBorders>
              <w:top w:val="nil"/>
              <w:left w:val="nil"/>
              <w:bottom w:val="nil"/>
              <w:right w:val="nil"/>
            </w:tcBorders>
            <w:shd w:val="clear" w:color="auto" w:fill="F2F2F2" w:themeFill="background1" w:themeFillShade="F2"/>
            <w:vAlign w:val="center"/>
          </w:tcPr>
          <w:p w:rsidR="00ED7D4F" w:rsidRPr="00ED7D4F" w:rsidRDefault="00ED7D4F" w:rsidP="00ED7D4F">
            <w:pPr>
              <w:pStyle w:val="Heading1"/>
              <w:jc w:val="center"/>
              <w:rPr>
                <w:rFonts w:ascii="Arial Black" w:hAnsi="Arial Black"/>
                <w:sz w:val="19"/>
                <w:szCs w:val="19"/>
              </w:rPr>
            </w:pPr>
            <w:r w:rsidRPr="00ED7D4F">
              <w:rPr>
                <w:rFonts w:ascii="Arial Black" w:hAnsi="Arial Black"/>
                <w:sz w:val="19"/>
                <w:szCs w:val="19"/>
              </w:rPr>
              <w:t>OUTCOMES</w:t>
            </w:r>
          </w:p>
        </w:tc>
      </w:tr>
      <w:tr w:rsidR="00ED7D4F" w:rsidTr="00ED7D4F">
        <w:trPr>
          <w:trHeight w:val="80"/>
        </w:trPr>
        <w:tc>
          <w:tcPr>
            <w:tcW w:w="3258" w:type="dxa"/>
            <w:tcBorders>
              <w:top w:val="nil"/>
              <w:left w:val="nil"/>
              <w:bottom w:val="nil"/>
              <w:right w:val="nil"/>
            </w:tcBorders>
            <w:shd w:val="clear" w:color="auto" w:fill="F4F3EC"/>
            <w:vAlign w:val="center"/>
          </w:tcPr>
          <w:p w:rsidR="00ED7D4F" w:rsidRPr="00F73DAB" w:rsidRDefault="00ED7D4F" w:rsidP="00ED7D4F">
            <w:pPr>
              <w:pStyle w:val="Heading1"/>
              <w:jc w:val="center"/>
              <w:rPr>
                <w:rFonts w:ascii="Arial Narrow" w:hAnsi="Arial Narrow"/>
                <w:b w:val="0"/>
                <w:sz w:val="8"/>
                <w:szCs w:val="8"/>
              </w:rPr>
            </w:pPr>
          </w:p>
        </w:tc>
        <w:tc>
          <w:tcPr>
            <w:tcW w:w="270" w:type="dxa"/>
            <w:tcBorders>
              <w:top w:val="nil"/>
              <w:left w:val="nil"/>
              <w:bottom w:val="nil"/>
              <w:right w:val="nil"/>
            </w:tcBorders>
            <w:vAlign w:val="center"/>
          </w:tcPr>
          <w:p w:rsidR="00ED7D4F" w:rsidRPr="00F73DAB" w:rsidRDefault="00ED7D4F" w:rsidP="00ED7D4F">
            <w:pPr>
              <w:pStyle w:val="Heading1"/>
              <w:rPr>
                <w:rFonts w:ascii="Arial Narrow" w:hAnsi="Arial Narrow"/>
                <w:b w:val="0"/>
                <w:noProof/>
                <w:sz w:val="8"/>
                <w:szCs w:val="8"/>
              </w:rPr>
            </w:pPr>
          </w:p>
        </w:tc>
        <w:tc>
          <w:tcPr>
            <w:tcW w:w="1800" w:type="dxa"/>
            <w:tcBorders>
              <w:top w:val="nil"/>
              <w:left w:val="nil"/>
              <w:bottom w:val="nil"/>
              <w:right w:val="nil"/>
            </w:tcBorders>
            <w:vAlign w:val="center"/>
          </w:tcPr>
          <w:p w:rsidR="00ED7D4F" w:rsidRPr="00F73DAB" w:rsidRDefault="00ED7D4F" w:rsidP="00ED7D4F">
            <w:pPr>
              <w:pStyle w:val="Heading1"/>
              <w:jc w:val="center"/>
              <w:rPr>
                <w:rFonts w:ascii="Arial Narrow" w:hAnsi="Arial Narrow"/>
                <w:b w:val="0"/>
                <w:sz w:val="8"/>
                <w:szCs w:val="8"/>
              </w:rPr>
            </w:pPr>
          </w:p>
        </w:tc>
        <w:tc>
          <w:tcPr>
            <w:tcW w:w="270" w:type="dxa"/>
            <w:tcBorders>
              <w:top w:val="nil"/>
              <w:left w:val="nil"/>
              <w:bottom w:val="nil"/>
              <w:right w:val="nil"/>
            </w:tcBorders>
            <w:vAlign w:val="center"/>
          </w:tcPr>
          <w:p w:rsidR="00ED7D4F" w:rsidRPr="00F73DAB" w:rsidRDefault="00ED7D4F" w:rsidP="00ED7D4F">
            <w:pPr>
              <w:pStyle w:val="Heading1"/>
              <w:rPr>
                <w:rFonts w:ascii="Arial Narrow" w:hAnsi="Arial Narrow"/>
                <w:b w:val="0"/>
                <w:noProof/>
                <w:sz w:val="8"/>
                <w:szCs w:val="8"/>
              </w:rPr>
            </w:pPr>
          </w:p>
        </w:tc>
        <w:tc>
          <w:tcPr>
            <w:tcW w:w="2430" w:type="dxa"/>
            <w:gridSpan w:val="2"/>
            <w:tcBorders>
              <w:top w:val="nil"/>
              <w:left w:val="nil"/>
              <w:bottom w:val="nil"/>
              <w:right w:val="nil"/>
            </w:tcBorders>
            <w:vAlign w:val="center"/>
          </w:tcPr>
          <w:p w:rsidR="00ED7D4F" w:rsidRPr="00F73DAB" w:rsidRDefault="00ED7D4F" w:rsidP="00ED7D4F">
            <w:pPr>
              <w:pStyle w:val="Heading1"/>
              <w:jc w:val="center"/>
              <w:rPr>
                <w:rFonts w:ascii="Arial Narrow" w:hAnsi="Arial Narrow"/>
                <w:b w:val="0"/>
                <w:sz w:val="8"/>
                <w:szCs w:val="8"/>
              </w:rPr>
            </w:pPr>
          </w:p>
        </w:tc>
        <w:tc>
          <w:tcPr>
            <w:tcW w:w="270" w:type="dxa"/>
            <w:tcBorders>
              <w:top w:val="nil"/>
              <w:left w:val="nil"/>
              <w:bottom w:val="nil"/>
              <w:right w:val="nil"/>
            </w:tcBorders>
            <w:vAlign w:val="center"/>
          </w:tcPr>
          <w:p w:rsidR="00ED7D4F" w:rsidRPr="00F73DAB" w:rsidRDefault="00ED7D4F" w:rsidP="00ED7D4F">
            <w:pPr>
              <w:pStyle w:val="Heading1"/>
              <w:rPr>
                <w:rFonts w:ascii="Arial Narrow" w:hAnsi="Arial Narrow"/>
                <w:b w:val="0"/>
                <w:noProof/>
                <w:sz w:val="8"/>
                <w:szCs w:val="8"/>
              </w:rPr>
            </w:pPr>
          </w:p>
        </w:tc>
        <w:tc>
          <w:tcPr>
            <w:tcW w:w="2430" w:type="dxa"/>
            <w:tcBorders>
              <w:top w:val="nil"/>
              <w:left w:val="nil"/>
              <w:bottom w:val="nil"/>
              <w:right w:val="nil"/>
            </w:tcBorders>
            <w:vAlign w:val="center"/>
          </w:tcPr>
          <w:p w:rsidR="00ED7D4F" w:rsidRPr="00F73DAB" w:rsidRDefault="00ED7D4F" w:rsidP="00ED7D4F">
            <w:pPr>
              <w:pStyle w:val="Heading1"/>
              <w:jc w:val="center"/>
              <w:rPr>
                <w:rFonts w:ascii="Arial Narrow" w:hAnsi="Arial Narrow"/>
                <w:b w:val="0"/>
                <w:sz w:val="8"/>
                <w:szCs w:val="8"/>
              </w:rPr>
            </w:pPr>
          </w:p>
        </w:tc>
        <w:tc>
          <w:tcPr>
            <w:tcW w:w="270" w:type="dxa"/>
            <w:tcBorders>
              <w:top w:val="nil"/>
              <w:left w:val="nil"/>
              <w:bottom w:val="nil"/>
              <w:right w:val="nil"/>
            </w:tcBorders>
            <w:vAlign w:val="center"/>
          </w:tcPr>
          <w:p w:rsidR="00ED7D4F" w:rsidRPr="00F73DAB" w:rsidRDefault="00ED7D4F" w:rsidP="00ED7D4F">
            <w:pPr>
              <w:pStyle w:val="Heading1"/>
              <w:jc w:val="center"/>
              <w:rPr>
                <w:rFonts w:ascii="Arial Narrow" w:hAnsi="Arial Narrow"/>
                <w:b w:val="0"/>
                <w:i/>
                <w:sz w:val="8"/>
                <w:szCs w:val="8"/>
              </w:rPr>
            </w:pPr>
          </w:p>
        </w:tc>
        <w:tc>
          <w:tcPr>
            <w:tcW w:w="4230" w:type="dxa"/>
            <w:tcBorders>
              <w:top w:val="nil"/>
              <w:left w:val="nil"/>
              <w:bottom w:val="nil"/>
              <w:right w:val="nil"/>
            </w:tcBorders>
            <w:shd w:val="clear" w:color="auto" w:fill="F2F2F2" w:themeFill="background1" w:themeFillShade="F2"/>
            <w:vAlign w:val="center"/>
          </w:tcPr>
          <w:p w:rsidR="00ED7D4F" w:rsidRPr="00F73DAB" w:rsidRDefault="00ED7D4F" w:rsidP="00ED7D4F">
            <w:pPr>
              <w:pStyle w:val="Heading1"/>
              <w:jc w:val="center"/>
              <w:rPr>
                <w:rFonts w:ascii="Arial Narrow" w:hAnsi="Arial Narrow"/>
                <w:b w:val="0"/>
                <w:i/>
                <w:sz w:val="8"/>
                <w:szCs w:val="8"/>
              </w:rPr>
            </w:pPr>
          </w:p>
        </w:tc>
      </w:tr>
      <w:tr w:rsidR="00ED7D4F" w:rsidTr="00ED7D4F">
        <w:trPr>
          <w:cantSplit/>
          <w:trHeight w:val="942"/>
        </w:trPr>
        <w:tc>
          <w:tcPr>
            <w:tcW w:w="3258" w:type="dxa"/>
            <w:vMerge w:val="restart"/>
            <w:tcBorders>
              <w:top w:val="nil"/>
              <w:left w:val="nil"/>
              <w:bottom w:val="single" w:sz="4" w:space="0" w:color="auto"/>
              <w:right w:val="nil"/>
            </w:tcBorders>
            <w:shd w:val="clear" w:color="auto" w:fill="F4F3EC"/>
          </w:tcPr>
          <w:p w:rsidR="00ED7D4F" w:rsidRPr="00ED7D4F" w:rsidRDefault="00325581" w:rsidP="00ED7D4F">
            <w:pPr>
              <w:rPr>
                <w:sz w:val="17"/>
                <w:szCs w:val="17"/>
              </w:rPr>
            </w:pPr>
            <w:r w:rsidRPr="00325581">
              <w:rPr>
                <w:rFonts w:ascii="Arial Narrow" w:hAnsi="Arial Narrow"/>
                <w:sz w:val="17"/>
                <w:szCs w:val="17"/>
              </w:rPr>
              <w:t>Safe and walkable neighborhoods can significantly enhance health and quality of life in communities by providing safer, pedestrian-friendly streets, improving air quality, and enhancing community interactions and social connectedness. Unfortunately, it has been difficult for communities and states to realize these benefits. While traffic fatalities have decreased nationally, pedestrian fatalities have increasingly become a larger proportion of all traffic-related deaths</w:t>
            </w:r>
            <w:r w:rsidR="00ED7D4F" w:rsidRPr="00ED7D4F">
              <w:rPr>
                <w:rFonts w:ascii="Arial Narrow" w:hAnsi="Arial Narrow"/>
                <w:sz w:val="17"/>
                <w:szCs w:val="17"/>
              </w:rPr>
              <w:t xml:space="preserve">.  </w:t>
            </w:r>
            <w:r w:rsidR="00ED7D4F" w:rsidRPr="00ED7D4F">
              <w:rPr>
                <w:sz w:val="17"/>
                <w:szCs w:val="17"/>
              </w:rPr>
              <w:t xml:space="preserve"> </w:t>
            </w:r>
          </w:p>
          <w:p w:rsidR="00ED7D4F" w:rsidRPr="00ED7D4F" w:rsidRDefault="00ED7D4F" w:rsidP="00ED7D4F">
            <w:pPr>
              <w:rPr>
                <w:sz w:val="17"/>
                <w:szCs w:val="17"/>
              </w:rPr>
            </w:pPr>
          </w:p>
          <w:p w:rsidR="00ED7D4F" w:rsidRPr="00ED7D4F" w:rsidRDefault="00325581" w:rsidP="00ED7D4F">
            <w:pPr>
              <w:rPr>
                <w:rFonts w:ascii="Arial Narrow" w:hAnsi="Arial Narrow"/>
                <w:sz w:val="17"/>
                <w:szCs w:val="17"/>
              </w:rPr>
            </w:pPr>
            <w:r>
              <w:rPr>
                <w:rFonts w:ascii="Arial Narrow" w:hAnsi="Arial Narrow"/>
                <w:sz w:val="17"/>
                <w:szCs w:val="17"/>
              </w:rPr>
              <w:t>F</w:t>
            </w:r>
            <w:r w:rsidR="00ED7D4F" w:rsidRPr="00ED7D4F">
              <w:rPr>
                <w:rFonts w:ascii="Arial Narrow" w:hAnsi="Arial Narrow"/>
                <w:sz w:val="17"/>
                <w:szCs w:val="17"/>
              </w:rPr>
              <w:t xml:space="preserve">rom 2003 –2013, 50,369 pedestrians were fatally injured while walking on roadways throughout the United States. These fatal injuries were generally caused by collisions between pedestrians and motor vehicles, resulting in irreparable physical trauma, and ultimately death.   </w:t>
            </w:r>
          </w:p>
          <w:p w:rsidR="00ED7D4F" w:rsidRPr="00ED7D4F" w:rsidRDefault="00ED7D4F" w:rsidP="00ED7D4F">
            <w:pPr>
              <w:rPr>
                <w:rFonts w:ascii="Arial Narrow" w:hAnsi="Arial Narrow"/>
                <w:sz w:val="17"/>
                <w:szCs w:val="17"/>
              </w:rPr>
            </w:pPr>
          </w:p>
          <w:p w:rsidR="00ED7D4F" w:rsidRPr="00ED7D4F" w:rsidRDefault="00ED7D4F" w:rsidP="00ED7D4F">
            <w:pPr>
              <w:rPr>
                <w:rFonts w:ascii="Arial Narrow" w:hAnsi="Arial Narrow"/>
                <w:sz w:val="17"/>
                <w:szCs w:val="17"/>
              </w:rPr>
            </w:pPr>
            <w:r w:rsidRPr="00ED7D4F">
              <w:rPr>
                <w:rFonts w:ascii="Arial Narrow" w:hAnsi="Arial Narrow"/>
                <w:sz w:val="17"/>
                <w:szCs w:val="17"/>
              </w:rPr>
              <w:t>Decreasing pedestrian injuries and fatalities in a state requires strong partnerships between a variety of agencies and effective strategies implemented at multiple levels.  Solutions to enhance pedestrian safety must be multifaceted and include collaborative efforts between experts from each of these diverse fields, with significant input from the community.</w:t>
            </w:r>
          </w:p>
          <w:p w:rsidR="00ED7D4F" w:rsidRPr="00ED7D4F" w:rsidRDefault="00ED7D4F" w:rsidP="00ED7D4F">
            <w:pPr>
              <w:rPr>
                <w:rFonts w:ascii="Arial Narrow" w:hAnsi="Arial Narrow"/>
                <w:sz w:val="17"/>
                <w:szCs w:val="17"/>
              </w:rPr>
            </w:pPr>
          </w:p>
          <w:p w:rsidR="00ED7D4F" w:rsidRPr="00ED7D4F" w:rsidRDefault="00ED7D4F" w:rsidP="00ED7D4F">
            <w:pPr>
              <w:rPr>
                <w:sz w:val="17"/>
                <w:szCs w:val="17"/>
              </w:rPr>
            </w:pPr>
            <w:r w:rsidRPr="00ED7D4F">
              <w:rPr>
                <w:rFonts w:ascii="Arial Narrow" w:hAnsi="Arial Narrow"/>
                <w:sz w:val="17"/>
                <w:szCs w:val="17"/>
              </w:rPr>
              <w:t xml:space="preserve">The </w:t>
            </w:r>
            <w:r w:rsidR="00325581">
              <w:rPr>
                <w:rFonts w:ascii="Arial Narrow" w:hAnsi="Arial Narrow"/>
                <w:sz w:val="17"/>
                <w:szCs w:val="17"/>
              </w:rPr>
              <w:t>goal</w:t>
            </w:r>
            <w:r w:rsidRPr="00ED7D4F">
              <w:rPr>
                <w:rFonts w:ascii="Arial Narrow" w:hAnsi="Arial Narrow"/>
                <w:sz w:val="17"/>
                <w:szCs w:val="17"/>
              </w:rPr>
              <w:t xml:space="preserve"> of the Pedestrian Injury Prevention Action Team Program is to</w:t>
            </w:r>
            <w:r w:rsidR="00325581">
              <w:rPr>
                <w:rFonts w:ascii="Arial Narrow" w:hAnsi="Arial Narrow"/>
                <w:sz w:val="17"/>
                <w:szCs w:val="17"/>
              </w:rPr>
              <w:t xml:space="preserve"> </w:t>
            </w:r>
            <w:r w:rsidR="00325581" w:rsidRPr="00325581">
              <w:rPr>
                <w:rFonts w:ascii="Arial Narrow" w:hAnsi="Arial Narrow"/>
                <w:sz w:val="17"/>
                <w:szCs w:val="17"/>
              </w:rPr>
              <w:t>leverage public health leadership to enhance statewide pedestrian safety efforts by: strengthening partnerships between multidisciplinary partners with a stake in pedestrian safety; and enhancing the collective capacity of state and local organizations to implement pedestrian safety initiatives.</w:t>
            </w:r>
          </w:p>
        </w:tc>
        <w:tc>
          <w:tcPr>
            <w:tcW w:w="270" w:type="dxa"/>
            <w:vMerge w:val="restart"/>
            <w:tcBorders>
              <w:top w:val="nil"/>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val="restart"/>
            <w:tcBorders>
              <w:top w:val="nil"/>
              <w:left w:val="nil"/>
              <w:right w:val="nil"/>
            </w:tcBorders>
            <w:shd w:val="clear" w:color="auto" w:fill="DAEEF3" w:themeFill="accent5" w:themeFillTint="33"/>
          </w:tcPr>
          <w:p w:rsidR="00ED7D4F" w:rsidRPr="00ED7D4F" w:rsidRDefault="00ED7D4F" w:rsidP="00ED7D4F">
            <w:pPr>
              <w:rPr>
                <w:rFonts w:ascii="Arial Narrow" w:hAnsi="Arial Narrow"/>
                <w:b/>
                <w:sz w:val="17"/>
                <w:szCs w:val="17"/>
              </w:rPr>
            </w:pPr>
            <w:r w:rsidRPr="00ED7D4F">
              <w:rPr>
                <w:rFonts w:ascii="Arial Narrow" w:hAnsi="Arial Narrow"/>
                <w:b/>
                <w:sz w:val="17"/>
                <w:szCs w:val="17"/>
              </w:rPr>
              <w:t>People</w:t>
            </w:r>
          </w:p>
          <w:p w:rsidR="00ED7D4F" w:rsidRPr="00ED7D4F" w:rsidRDefault="00ED7D4F" w:rsidP="00ED7D4F">
            <w:pPr>
              <w:pStyle w:val="ListParagraph"/>
              <w:numPr>
                <w:ilvl w:val="0"/>
                <w:numId w:val="29"/>
              </w:numPr>
              <w:ind w:left="252" w:hanging="180"/>
              <w:rPr>
                <w:rFonts w:ascii="Arial Narrow" w:hAnsi="Arial Narrow"/>
                <w:sz w:val="17"/>
                <w:szCs w:val="17"/>
              </w:rPr>
            </w:pPr>
            <w:r w:rsidRPr="00ED7D4F">
              <w:rPr>
                <w:rFonts w:ascii="Arial Narrow" w:hAnsi="Arial Narrow"/>
                <w:sz w:val="17"/>
                <w:szCs w:val="17"/>
              </w:rPr>
              <w:t>Safe States staff</w:t>
            </w:r>
          </w:p>
          <w:p w:rsidR="00ED7D4F" w:rsidRPr="00ED7D4F" w:rsidRDefault="00ED7D4F" w:rsidP="00ED7D4F">
            <w:pPr>
              <w:pStyle w:val="ListParagraph"/>
              <w:numPr>
                <w:ilvl w:val="0"/>
                <w:numId w:val="29"/>
              </w:numPr>
              <w:ind w:left="252" w:hanging="180"/>
              <w:rPr>
                <w:rFonts w:ascii="Arial Narrow" w:hAnsi="Arial Narrow"/>
                <w:sz w:val="17"/>
                <w:szCs w:val="17"/>
              </w:rPr>
            </w:pPr>
            <w:r w:rsidRPr="00ED7D4F">
              <w:rPr>
                <w:rFonts w:ascii="Arial Narrow" w:hAnsi="Arial Narrow"/>
                <w:sz w:val="17"/>
                <w:szCs w:val="17"/>
              </w:rPr>
              <w:t>NHTSA staff</w:t>
            </w:r>
          </w:p>
          <w:p w:rsidR="00ED7D4F" w:rsidRPr="00ED7D4F" w:rsidRDefault="00ED7D4F" w:rsidP="00ED7D4F">
            <w:pPr>
              <w:pStyle w:val="ListParagraph"/>
              <w:numPr>
                <w:ilvl w:val="0"/>
                <w:numId w:val="29"/>
              </w:numPr>
              <w:ind w:left="252" w:hanging="180"/>
              <w:rPr>
                <w:rFonts w:ascii="Arial Narrow" w:hAnsi="Arial Narrow"/>
                <w:sz w:val="17"/>
                <w:szCs w:val="17"/>
              </w:rPr>
            </w:pPr>
            <w:r w:rsidRPr="00ED7D4F">
              <w:rPr>
                <w:rFonts w:ascii="Arial Narrow" w:hAnsi="Arial Narrow"/>
                <w:sz w:val="17"/>
                <w:szCs w:val="17"/>
              </w:rPr>
              <w:t>Members of multi-sector Action Te</w:t>
            </w:r>
            <w:r w:rsidR="0005454E">
              <w:rPr>
                <w:rFonts w:ascii="Arial Narrow" w:hAnsi="Arial Narrow"/>
                <w:sz w:val="17"/>
                <w:szCs w:val="17"/>
              </w:rPr>
              <w:t>ams (</w:t>
            </w:r>
            <w:r w:rsidRPr="00ED7D4F">
              <w:rPr>
                <w:rFonts w:ascii="Arial Narrow" w:hAnsi="Arial Narrow"/>
                <w:sz w:val="17"/>
                <w:szCs w:val="17"/>
              </w:rPr>
              <w:t>CA, KY, OR, &amp; RI)</w:t>
            </w:r>
          </w:p>
          <w:p w:rsidR="00ED7D4F" w:rsidRPr="00ED7D4F" w:rsidRDefault="00ED7D4F" w:rsidP="00ED7D4F">
            <w:pPr>
              <w:pStyle w:val="ListParagraph"/>
              <w:numPr>
                <w:ilvl w:val="0"/>
                <w:numId w:val="29"/>
              </w:numPr>
              <w:ind w:left="252" w:hanging="180"/>
              <w:rPr>
                <w:rFonts w:ascii="Arial Narrow" w:hAnsi="Arial Narrow"/>
                <w:sz w:val="17"/>
                <w:szCs w:val="17"/>
              </w:rPr>
            </w:pPr>
            <w:r w:rsidRPr="00ED7D4F">
              <w:rPr>
                <w:rFonts w:ascii="Arial Narrow" w:hAnsi="Arial Narrow"/>
                <w:sz w:val="17"/>
                <w:szCs w:val="17"/>
              </w:rPr>
              <w:t>Staff from mini-grantee agencies</w:t>
            </w:r>
          </w:p>
          <w:p w:rsidR="00ED7D4F" w:rsidRPr="00ED7D4F" w:rsidRDefault="00ED7D4F" w:rsidP="00ED7D4F">
            <w:pPr>
              <w:pStyle w:val="ListParagraph"/>
              <w:numPr>
                <w:ilvl w:val="0"/>
                <w:numId w:val="29"/>
              </w:numPr>
              <w:ind w:left="252" w:hanging="180"/>
              <w:rPr>
                <w:rFonts w:ascii="Arial Narrow" w:hAnsi="Arial Narrow"/>
                <w:sz w:val="17"/>
                <w:szCs w:val="17"/>
              </w:rPr>
            </w:pPr>
            <w:r w:rsidRPr="00ED7D4F">
              <w:rPr>
                <w:rFonts w:ascii="Arial Narrow" w:hAnsi="Arial Narrow"/>
                <w:sz w:val="17"/>
                <w:szCs w:val="17"/>
              </w:rPr>
              <w:t>Consultants from Health Resources in Action (HRiA)</w:t>
            </w:r>
          </w:p>
          <w:p w:rsidR="00ED7D4F" w:rsidRPr="00ED7D4F" w:rsidRDefault="00ED7D4F" w:rsidP="00ED7D4F">
            <w:pPr>
              <w:rPr>
                <w:rFonts w:ascii="Arial Narrow" w:hAnsi="Arial Narrow"/>
                <w:sz w:val="17"/>
                <w:szCs w:val="17"/>
              </w:rPr>
            </w:pPr>
          </w:p>
          <w:p w:rsidR="00ED7D4F" w:rsidRPr="00ED7D4F" w:rsidRDefault="00ED7D4F" w:rsidP="00ED7D4F">
            <w:pPr>
              <w:rPr>
                <w:rFonts w:ascii="Arial Narrow" w:hAnsi="Arial Narrow"/>
                <w:sz w:val="17"/>
                <w:szCs w:val="17"/>
              </w:rPr>
            </w:pPr>
            <w:r w:rsidRPr="00ED7D4F">
              <w:rPr>
                <w:rFonts w:ascii="Arial Narrow" w:hAnsi="Arial Narrow"/>
                <w:b/>
                <w:sz w:val="17"/>
                <w:szCs w:val="17"/>
              </w:rPr>
              <w:t>Funding</w:t>
            </w:r>
            <w:r w:rsidRPr="00ED7D4F">
              <w:rPr>
                <w:rFonts w:ascii="Arial Narrow" w:hAnsi="Arial Narrow"/>
                <w:sz w:val="17"/>
                <w:szCs w:val="17"/>
              </w:rPr>
              <w:t xml:space="preserve"> </w:t>
            </w:r>
          </w:p>
          <w:p w:rsidR="00ED7D4F" w:rsidRPr="00ED7D4F" w:rsidRDefault="00ED7D4F" w:rsidP="00ED7D4F">
            <w:pPr>
              <w:pStyle w:val="ListParagraph"/>
              <w:numPr>
                <w:ilvl w:val="0"/>
                <w:numId w:val="30"/>
              </w:numPr>
              <w:ind w:left="252" w:hanging="180"/>
              <w:rPr>
                <w:rFonts w:ascii="Arial Narrow" w:hAnsi="Arial Narrow"/>
                <w:sz w:val="17"/>
                <w:szCs w:val="17"/>
              </w:rPr>
            </w:pPr>
            <w:r w:rsidRPr="00ED7D4F">
              <w:rPr>
                <w:rFonts w:ascii="Arial Narrow" w:hAnsi="Arial Narrow"/>
                <w:sz w:val="17"/>
                <w:szCs w:val="17"/>
              </w:rPr>
              <w:t>NHTSA Cooperative Agreement No. DTNH22-13-H-00411(“Injury Prevention for Pedestrians”)</w:t>
            </w:r>
          </w:p>
          <w:p w:rsidR="00ED7D4F" w:rsidRPr="00ED7D4F" w:rsidRDefault="00ED7D4F" w:rsidP="00ED7D4F">
            <w:pPr>
              <w:rPr>
                <w:rFonts w:ascii="Arial Narrow" w:hAnsi="Arial Narrow"/>
                <w:sz w:val="17"/>
                <w:szCs w:val="17"/>
              </w:rPr>
            </w:pPr>
          </w:p>
          <w:p w:rsidR="00ED7D4F" w:rsidRPr="00ED7D4F" w:rsidRDefault="00ED7D4F" w:rsidP="00ED7D4F">
            <w:pPr>
              <w:rPr>
                <w:rFonts w:ascii="Arial Narrow" w:hAnsi="Arial Narrow"/>
                <w:b/>
                <w:sz w:val="17"/>
                <w:szCs w:val="17"/>
              </w:rPr>
            </w:pPr>
            <w:r w:rsidRPr="00ED7D4F">
              <w:rPr>
                <w:rFonts w:ascii="Arial Narrow" w:hAnsi="Arial Narrow"/>
                <w:b/>
                <w:sz w:val="17"/>
                <w:szCs w:val="17"/>
              </w:rPr>
              <w:t>Materials &amp; Technology</w:t>
            </w:r>
          </w:p>
          <w:p w:rsidR="00ED7D4F" w:rsidRPr="00ED7D4F" w:rsidRDefault="00ED7D4F" w:rsidP="00ED7D4F">
            <w:pPr>
              <w:pStyle w:val="ListParagraph"/>
              <w:numPr>
                <w:ilvl w:val="0"/>
                <w:numId w:val="30"/>
              </w:numPr>
              <w:ind w:left="252" w:hanging="180"/>
              <w:rPr>
                <w:rFonts w:ascii="Arial Narrow" w:hAnsi="Arial Narrow"/>
                <w:sz w:val="17"/>
                <w:szCs w:val="17"/>
              </w:rPr>
            </w:pPr>
            <w:r w:rsidRPr="00ED7D4F">
              <w:rPr>
                <w:rFonts w:ascii="Arial Narrow" w:hAnsi="Arial Narrow"/>
                <w:sz w:val="17"/>
                <w:szCs w:val="17"/>
              </w:rPr>
              <w:t>Materials and resources developed for the Pedestrian Injury Prevention Workshop and local trainings</w:t>
            </w:r>
          </w:p>
          <w:p w:rsidR="00ED7D4F" w:rsidRPr="00ED7D4F" w:rsidRDefault="00ED7D4F" w:rsidP="00ED7D4F">
            <w:pPr>
              <w:pStyle w:val="ListParagraph"/>
              <w:numPr>
                <w:ilvl w:val="0"/>
                <w:numId w:val="30"/>
              </w:numPr>
              <w:ind w:left="252" w:hanging="180"/>
              <w:rPr>
                <w:rFonts w:ascii="Arial Narrow" w:hAnsi="Arial Narrow"/>
                <w:sz w:val="17"/>
                <w:szCs w:val="17"/>
              </w:rPr>
            </w:pPr>
            <w:r w:rsidRPr="00ED7D4F">
              <w:rPr>
                <w:rFonts w:ascii="Arial Narrow" w:hAnsi="Arial Narrow"/>
                <w:sz w:val="17"/>
                <w:szCs w:val="17"/>
              </w:rPr>
              <w:t>YourMembership (Pedestrian Injury Community of Practice – CoP)</w:t>
            </w:r>
          </w:p>
        </w:tc>
        <w:tc>
          <w:tcPr>
            <w:tcW w:w="270" w:type="dxa"/>
            <w:vMerge w:val="restart"/>
            <w:tcBorders>
              <w:top w:val="nil"/>
              <w:left w:val="nil"/>
              <w:right w:val="nil"/>
            </w:tcBorders>
          </w:tcPr>
          <w:p w:rsidR="00ED7D4F" w:rsidRPr="00ED7D4F" w:rsidRDefault="00ED7D4F" w:rsidP="00ED7D4F">
            <w:pPr>
              <w:pStyle w:val="Heading1"/>
              <w:rPr>
                <w:rFonts w:ascii="Arial Narrow" w:hAnsi="Arial Narrow"/>
                <w:noProof/>
                <w:sz w:val="17"/>
                <w:szCs w:val="17"/>
              </w:rPr>
            </w:pPr>
          </w:p>
        </w:tc>
        <w:tc>
          <w:tcPr>
            <w:tcW w:w="2430" w:type="dxa"/>
            <w:gridSpan w:val="2"/>
            <w:tcBorders>
              <w:top w:val="nil"/>
              <w:left w:val="nil"/>
              <w:bottom w:val="nil"/>
              <w:right w:val="nil"/>
            </w:tcBorders>
            <w:shd w:val="clear" w:color="auto" w:fill="FFFFCC"/>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Safe States and HRiA plan, facilitate, and evaluate the Pedestrian Injury Prevention Workshop for all Action Teams</w:t>
            </w:r>
          </w:p>
        </w:tc>
        <w:tc>
          <w:tcPr>
            <w:tcW w:w="270" w:type="dxa"/>
            <w:vMerge w:val="restart"/>
            <w:tcBorders>
              <w:top w:val="nil"/>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FFFFCC"/>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Pedestrian Injury Prevention Workshop</w:t>
            </w:r>
          </w:p>
          <w:p w:rsidR="00ED7D4F" w:rsidRPr="00ED7D4F" w:rsidRDefault="00ED7D4F" w:rsidP="00ED7D4F">
            <w:pPr>
              <w:pStyle w:val="ListParagraph"/>
              <w:ind w:left="0"/>
              <w:jc w:val="center"/>
              <w:rPr>
                <w:rFonts w:ascii="Arial Narrow" w:hAnsi="Arial Narrow"/>
                <w:sz w:val="17"/>
                <w:szCs w:val="17"/>
              </w:rPr>
            </w:pPr>
            <w:r w:rsidRPr="00ED7D4F">
              <w:rPr>
                <w:rFonts w:ascii="Arial Narrow" w:hAnsi="Arial Narrow"/>
                <w:sz w:val="17"/>
                <w:szCs w:val="17"/>
              </w:rPr>
              <w:t>(Washington, DC)</w:t>
            </w:r>
            <w:r w:rsidR="00A03D4E">
              <w:rPr>
                <w:rFonts w:ascii="Arial Narrow" w:hAnsi="Arial Narrow"/>
                <w:sz w:val="17"/>
                <w:szCs w:val="17"/>
              </w:rPr>
              <w:t xml:space="preserve"> for Action Teams</w:t>
            </w:r>
          </w:p>
        </w:tc>
        <w:tc>
          <w:tcPr>
            <w:tcW w:w="270" w:type="dxa"/>
            <w:vMerge w:val="restart"/>
            <w:tcBorders>
              <w:top w:val="nil"/>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val="restart"/>
            <w:tcBorders>
              <w:top w:val="nil"/>
              <w:left w:val="nil"/>
              <w:right w:val="nil"/>
            </w:tcBorders>
            <w:shd w:val="clear" w:color="auto" w:fill="F2F2F2" w:themeFill="background1" w:themeFillShade="F2"/>
          </w:tcPr>
          <w:p w:rsidR="00ED7D4F" w:rsidRPr="00ED7D4F" w:rsidRDefault="00ED7D4F" w:rsidP="00ED7D4F">
            <w:pPr>
              <w:spacing w:after="80"/>
              <w:rPr>
                <w:rFonts w:ascii="Arial Narrow" w:hAnsi="Arial Narrow"/>
                <w:b/>
                <w:i/>
                <w:color w:val="00539B"/>
                <w:sz w:val="17"/>
                <w:szCs w:val="17"/>
              </w:rPr>
            </w:pPr>
            <w:r w:rsidRPr="00ED7D4F">
              <w:rPr>
                <w:rFonts w:ascii="Arial Narrow" w:hAnsi="Arial Narrow"/>
                <w:b/>
                <w:caps/>
                <w:color w:val="00539B"/>
                <w:sz w:val="17"/>
                <w:szCs w:val="17"/>
              </w:rPr>
              <w:t>Short-Term Outcomes or “impacts”</w:t>
            </w:r>
            <w:r w:rsidRPr="00ED7D4F">
              <w:rPr>
                <w:rFonts w:ascii="Arial Narrow" w:hAnsi="Arial Narrow"/>
                <w:b/>
                <w:caps/>
                <w:color w:val="00539B"/>
                <w:sz w:val="17"/>
                <w:szCs w:val="17"/>
              </w:rPr>
              <w:br/>
              <w:t>(Within the Two-Year Project Period)</w:t>
            </w:r>
          </w:p>
          <w:p w:rsidR="00ED7D4F" w:rsidRPr="00ED7D4F" w:rsidRDefault="00ED7D4F" w:rsidP="00ED7D4F">
            <w:pPr>
              <w:rPr>
                <w:rFonts w:ascii="Arial Narrow" w:hAnsi="Arial Narrow"/>
                <w:sz w:val="17"/>
                <w:szCs w:val="17"/>
              </w:rPr>
            </w:pPr>
            <w:r w:rsidRPr="00ED7D4F">
              <w:rPr>
                <w:rFonts w:ascii="Arial Narrow" w:hAnsi="Arial Narrow"/>
                <w:sz w:val="17"/>
                <w:szCs w:val="17"/>
              </w:rPr>
              <w:t>I</w:t>
            </w:r>
            <w:r w:rsidR="00A230DA">
              <w:rPr>
                <w:rFonts w:ascii="Arial Narrow" w:hAnsi="Arial Narrow"/>
                <w:sz w:val="17"/>
                <w:szCs w:val="17"/>
              </w:rPr>
              <w:t xml:space="preserve">nitial </w:t>
            </w:r>
            <w:r w:rsidRPr="00ED7D4F">
              <w:rPr>
                <w:rFonts w:ascii="Arial Narrow" w:hAnsi="Arial Narrow"/>
                <w:sz w:val="17"/>
                <w:szCs w:val="17"/>
              </w:rPr>
              <w:t xml:space="preserve">enhancements </w:t>
            </w:r>
            <w:r w:rsidR="00442B6A">
              <w:rPr>
                <w:rFonts w:ascii="Arial Narrow" w:hAnsi="Arial Narrow"/>
                <w:sz w:val="17"/>
                <w:szCs w:val="17"/>
              </w:rPr>
              <w:t>in</w:t>
            </w:r>
            <w:r w:rsidRPr="00ED7D4F">
              <w:rPr>
                <w:rFonts w:ascii="Arial Narrow" w:hAnsi="Arial Narrow"/>
                <w:sz w:val="17"/>
                <w:szCs w:val="17"/>
              </w:rPr>
              <w:t xml:space="preserve"> Action Teams’ and local mini-grantee</w:t>
            </w:r>
            <w:r w:rsidR="008852C6">
              <w:rPr>
                <w:rFonts w:ascii="Arial Narrow" w:hAnsi="Arial Narrow"/>
                <w:sz w:val="17"/>
                <w:szCs w:val="17"/>
              </w:rPr>
              <w:t xml:space="preserve"> agencie</w:t>
            </w:r>
            <w:r w:rsidRPr="00ED7D4F">
              <w:rPr>
                <w:rFonts w:ascii="Arial Narrow" w:hAnsi="Arial Narrow"/>
                <w:sz w:val="17"/>
                <w:szCs w:val="17"/>
              </w:rPr>
              <w:t>s’</w:t>
            </w:r>
            <w:r w:rsidR="00A230DA">
              <w:rPr>
                <w:rFonts w:ascii="Arial Narrow" w:hAnsi="Arial Narrow"/>
                <w:sz w:val="17"/>
                <w:szCs w:val="17"/>
              </w:rPr>
              <w:t xml:space="preserve"> </w:t>
            </w:r>
            <w:r w:rsidR="00373BBE">
              <w:rPr>
                <w:rFonts w:ascii="Arial Narrow" w:hAnsi="Arial Narrow"/>
                <w:sz w:val="17"/>
                <w:szCs w:val="17"/>
              </w:rPr>
              <w:t>capacity</w:t>
            </w:r>
            <w:r w:rsidR="00BA2288">
              <w:rPr>
                <w:rFonts w:ascii="Arial Narrow" w:hAnsi="Arial Narrow"/>
                <w:sz w:val="17"/>
                <w:szCs w:val="17"/>
              </w:rPr>
              <w:t xml:space="preserve"> to support </w:t>
            </w:r>
            <w:r w:rsidR="00373BBE">
              <w:rPr>
                <w:rFonts w:ascii="Arial Narrow" w:hAnsi="Arial Narrow"/>
                <w:sz w:val="17"/>
                <w:szCs w:val="17"/>
              </w:rPr>
              <w:t xml:space="preserve">pedestrian safety efforts </w:t>
            </w:r>
            <w:r w:rsidR="009672EF">
              <w:rPr>
                <w:rFonts w:ascii="Arial Narrow" w:hAnsi="Arial Narrow"/>
                <w:sz w:val="17"/>
                <w:szCs w:val="17"/>
              </w:rPr>
              <w:t>as reflected by their ability to</w:t>
            </w:r>
            <w:r w:rsidRPr="00ED7D4F">
              <w:rPr>
                <w:rFonts w:ascii="Arial Narrow" w:hAnsi="Arial Narrow"/>
                <w:sz w:val="17"/>
                <w:szCs w:val="17"/>
              </w:rPr>
              <w:t>:</w:t>
            </w:r>
          </w:p>
          <w:p w:rsidR="00BA2288" w:rsidRPr="00BA2288" w:rsidRDefault="00BA2288" w:rsidP="00BA2288">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Build and sustain</w:t>
            </w:r>
            <w:r w:rsidR="009672EF">
              <w:rPr>
                <w:rFonts w:ascii="Arial Narrow" w:hAnsi="Arial Narrow"/>
                <w:sz w:val="17"/>
                <w:szCs w:val="17"/>
              </w:rPr>
              <w:t xml:space="preserve"> </w:t>
            </w:r>
            <w:r w:rsidRPr="00BA2288">
              <w:rPr>
                <w:rFonts w:ascii="Arial Narrow" w:hAnsi="Arial Narrow"/>
                <w:sz w:val="17"/>
                <w:szCs w:val="17"/>
              </w:rPr>
              <w:t xml:space="preserve">a solid, stable infrastructure </w:t>
            </w:r>
          </w:p>
          <w:p w:rsidR="00BA2288" w:rsidRPr="00BA2288" w:rsidRDefault="00BA2288" w:rsidP="00BA2288">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Select, implement</w:t>
            </w:r>
            <w:r w:rsidR="00A230DA">
              <w:rPr>
                <w:rFonts w:ascii="Arial Narrow" w:hAnsi="Arial Narrow"/>
                <w:sz w:val="17"/>
                <w:szCs w:val="17"/>
              </w:rPr>
              <w:t>ing</w:t>
            </w:r>
            <w:r w:rsidRPr="00BA2288">
              <w:rPr>
                <w:rFonts w:ascii="Arial Narrow" w:hAnsi="Arial Narrow"/>
                <w:sz w:val="17"/>
                <w:szCs w:val="17"/>
              </w:rPr>
              <w:t>, and evaluat</w:t>
            </w:r>
            <w:r w:rsidR="00A230DA">
              <w:rPr>
                <w:rFonts w:ascii="Arial Narrow" w:hAnsi="Arial Narrow"/>
                <w:sz w:val="17"/>
                <w:szCs w:val="17"/>
              </w:rPr>
              <w:t>ing</w:t>
            </w:r>
            <w:r w:rsidRPr="00BA2288">
              <w:rPr>
                <w:rFonts w:ascii="Arial Narrow" w:hAnsi="Arial Narrow"/>
                <w:sz w:val="17"/>
                <w:szCs w:val="17"/>
              </w:rPr>
              <w:t xml:space="preserve"> effective program and policy strategies</w:t>
            </w:r>
          </w:p>
          <w:p w:rsidR="00BA2288" w:rsidRPr="00BA2288" w:rsidRDefault="00BA2288" w:rsidP="00BA2288">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Engag</w:t>
            </w:r>
            <w:r w:rsidR="009672EF">
              <w:rPr>
                <w:rFonts w:ascii="Arial Narrow" w:hAnsi="Arial Narrow"/>
                <w:sz w:val="17"/>
                <w:szCs w:val="17"/>
              </w:rPr>
              <w:t>e</w:t>
            </w:r>
            <w:r w:rsidRPr="00BA2288">
              <w:rPr>
                <w:rFonts w:ascii="Arial Narrow" w:hAnsi="Arial Narrow"/>
                <w:sz w:val="17"/>
                <w:szCs w:val="17"/>
              </w:rPr>
              <w:t xml:space="preserve"> partners for collaboration</w:t>
            </w:r>
          </w:p>
          <w:p w:rsidR="00BA2288" w:rsidRPr="00BA2288" w:rsidRDefault="00A230DA" w:rsidP="00BA2288">
            <w:pPr>
              <w:pStyle w:val="ListParagraph"/>
              <w:numPr>
                <w:ilvl w:val="0"/>
                <w:numId w:val="33"/>
              </w:numPr>
              <w:ind w:left="345" w:hanging="180"/>
              <w:rPr>
                <w:rFonts w:ascii="Arial Narrow" w:hAnsi="Arial Narrow"/>
                <w:sz w:val="17"/>
                <w:szCs w:val="17"/>
              </w:rPr>
            </w:pPr>
            <w:r>
              <w:rPr>
                <w:rFonts w:ascii="Arial Narrow" w:hAnsi="Arial Narrow"/>
                <w:sz w:val="17"/>
                <w:szCs w:val="17"/>
              </w:rPr>
              <w:t>Effectively communicat</w:t>
            </w:r>
            <w:r w:rsidR="009672EF">
              <w:rPr>
                <w:rFonts w:ascii="Arial Narrow" w:hAnsi="Arial Narrow"/>
                <w:sz w:val="17"/>
                <w:szCs w:val="17"/>
              </w:rPr>
              <w:t>e</w:t>
            </w:r>
            <w:r w:rsidR="00BA2288" w:rsidRPr="00BA2288">
              <w:rPr>
                <w:rFonts w:ascii="Arial Narrow" w:hAnsi="Arial Narrow"/>
                <w:sz w:val="17"/>
                <w:szCs w:val="17"/>
              </w:rPr>
              <w:t xml:space="preserve"> information to key stakeholders</w:t>
            </w:r>
          </w:p>
          <w:p w:rsidR="00ED7D4F" w:rsidRDefault="009672EF" w:rsidP="00BA2288">
            <w:pPr>
              <w:numPr>
                <w:ilvl w:val="0"/>
                <w:numId w:val="33"/>
              </w:numPr>
              <w:ind w:left="345" w:hanging="180"/>
              <w:rPr>
                <w:rFonts w:ascii="Arial Narrow" w:hAnsi="Arial Narrow"/>
                <w:sz w:val="17"/>
                <w:szCs w:val="17"/>
              </w:rPr>
            </w:pPr>
            <w:r>
              <w:rPr>
                <w:rFonts w:ascii="Arial Narrow" w:hAnsi="Arial Narrow"/>
                <w:sz w:val="17"/>
                <w:szCs w:val="17"/>
              </w:rPr>
              <w:t>Provide</w:t>
            </w:r>
            <w:r w:rsidR="00BA2288" w:rsidRPr="00BA2288">
              <w:rPr>
                <w:rFonts w:ascii="Arial Narrow" w:hAnsi="Arial Narrow"/>
                <w:sz w:val="17"/>
                <w:szCs w:val="17"/>
              </w:rPr>
              <w:t xml:space="preserve"> training and technical assistance</w:t>
            </w:r>
          </w:p>
          <w:p w:rsidR="00BA2288" w:rsidRPr="00ED7D4F" w:rsidRDefault="00BA2288" w:rsidP="00BA2288">
            <w:pPr>
              <w:rPr>
                <w:rFonts w:ascii="Arial Narrow" w:hAnsi="Arial Narrow"/>
                <w:sz w:val="17"/>
                <w:szCs w:val="17"/>
              </w:rPr>
            </w:pPr>
          </w:p>
          <w:p w:rsidR="00ED7D4F" w:rsidRPr="00ED7D4F" w:rsidRDefault="00ED7D4F" w:rsidP="00ED7D4F">
            <w:pPr>
              <w:spacing w:after="80"/>
              <w:rPr>
                <w:rFonts w:ascii="Arial Narrow" w:hAnsi="Arial Narrow"/>
                <w:b/>
                <w:caps/>
                <w:color w:val="00539B"/>
                <w:sz w:val="17"/>
                <w:szCs w:val="17"/>
              </w:rPr>
            </w:pPr>
            <w:r w:rsidRPr="00ED7D4F">
              <w:rPr>
                <w:rFonts w:ascii="Arial Narrow" w:hAnsi="Arial Narrow"/>
                <w:b/>
                <w:caps/>
                <w:color w:val="00539B"/>
                <w:sz w:val="17"/>
                <w:szCs w:val="17"/>
              </w:rPr>
              <w:t xml:space="preserve">Intermediate Outcomes </w:t>
            </w:r>
            <w:r w:rsidRPr="00ED7D4F">
              <w:rPr>
                <w:rFonts w:ascii="Arial Narrow" w:hAnsi="Arial Narrow"/>
                <w:b/>
                <w:caps/>
                <w:color w:val="00539B"/>
                <w:sz w:val="17"/>
                <w:szCs w:val="17"/>
              </w:rPr>
              <w:br/>
              <w:t>(1-</w:t>
            </w:r>
            <w:r w:rsidR="002F0305">
              <w:rPr>
                <w:rFonts w:ascii="Arial Narrow" w:hAnsi="Arial Narrow"/>
                <w:b/>
                <w:caps/>
                <w:color w:val="00539B"/>
                <w:sz w:val="17"/>
                <w:szCs w:val="17"/>
              </w:rPr>
              <w:t>5</w:t>
            </w:r>
            <w:r w:rsidRPr="00ED7D4F">
              <w:rPr>
                <w:rFonts w:ascii="Arial Narrow" w:hAnsi="Arial Narrow"/>
                <w:b/>
                <w:caps/>
                <w:color w:val="00539B"/>
                <w:sz w:val="17"/>
                <w:szCs w:val="17"/>
              </w:rPr>
              <w:t xml:space="preserve"> Years After the Project Period)</w:t>
            </w:r>
          </w:p>
          <w:p w:rsidR="009672EF" w:rsidRPr="00ED7D4F" w:rsidRDefault="00030AF7" w:rsidP="009672EF">
            <w:pPr>
              <w:rPr>
                <w:rFonts w:ascii="Arial Narrow" w:hAnsi="Arial Narrow"/>
                <w:sz w:val="17"/>
                <w:szCs w:val="17"/>
              </w:rPr>
            </w:pPr>
            <w:r>
              <w:rPr>
                <w:rFonts w:ascii="Arial Narrow" w:hAnsi="Arial Narrow"/>
                <w:sz w:val="18"/>
                <w:szCs w:val="18"/>
              </w:rPr>
              <w:t xml:space="preserve">Sustained enhancements </w:t>
            </w:r>
            <w:r w:rsidR="009672EF">
              <w:rPr>
                <w:rFonts w:ascii="Arial Narrow" w:hAnsi="Arial Narrow"/>
                <w:sz w:val="17"/>
                <w:szCs w:val="17"/>
              </w:rPr>
              <w:t>in</w:t>
            </w:r>
            <w:r w:rsidR="009672EF" w:rsidRPr="00ED7D4F">
              <w:rPr>
                <w:rFonts w:ascii="Arial Narrow" w:hAnsi="Arial Narrow"/>
                <w:sz w:val="17"/>
                <w:szCs w:val="17"/>
              </w:rPr>
              <w:t xml:space="preserve"> Action Teams’ and local mini-grantee</w:t>
            </w:r>
            <w:r w:rsidR="009672EF">
              <w:rPr>
                <w:rFonts w:ascii="Arial Narrow" w:hAnsi="Arial Narrow"/>
                <w:sz w:val="17"/>
                <w:szCs w:val="17"/>
              </w:rPr>
              <w:t xml:space="preserve"> agencie</w:t>
            </w:r>
            <w:r w:rsidR="009672EF" w:rsidRPr="00ED7D4F">
              <w:rPr>
                <w:rFonts w:ascii="Arial Narrow" w:hAnsi="Arial Narrow"/>
                <w:sz w:val="17"/>
                <w:szCs w:val="17"/>
              </w:rPr>
              <w:t>s’</w:t>
            </w:r>
            <w:r w:rsidR="009672EF">
              <w:rPr>
                <w:rFonts w:ascii="Arial Narrow" w:hAnsi="Arial Narrow"/>
                <w:sz w:val="17"/>
                <w:szCs w:val="17"/>
              </w:rPr>
              <w:t xml:space="preserve"> capacity to support pedestrian safety efforts as reflected by their ability to</w:t>
            </w:r>
            <w:r w:rsidR="009672EF" w:rsidRPr="00ED7D4F">
              <w:rPr>
                <w:rFonts w:ascii="Arial Narrow" w:hAnsi="Arial Narrow"/>
                <w:sz w:val="17"/>
                <w:szCs w:val="17"/>
              </w:rPr>
              <w:t>:</w:t>
            </w:r>
          </w:p>
          <w:p w:rsidR="009672EF" w:rsidRPr="00BA2288" w:rsidRDefault="009672EF" w:rsidP="009672EF">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Build and sustain</w:t>
            </w:r>
            <w:r>
              <w:rPr>
                <w:rFonts w:ascii="Arial Narrow" w:hAnsi="Arial Narrow"/>
                <w:sz w:val="17"/>
                <w:szCs w:val="17"/>
              </w:rPr>
              <w:t xml:space="preserve"> </w:t>
            </w:r>
            <w:r w:rsidRPr="00BA2288">
              <w:rPr>
                <w:rFonts w:ascii="Arial Narrow" w:hAnsi="Arial Narrow"/>
                <w:sz w:val="17"/>
                <w:szCs w:val="17"/>
              </w:rPr>
              <w:t xml:space="preserve">a solid, stable infrastructure </w:t>
            </w:r>
          </w:p>
          <w:p w:rsidR="009672EF" w:rsidRPr="00BA2288" w:rsidRDefault="009672EF" w:rsidP="009672EF">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Select, implement</w:t>
            </w:r>
            <w:r>
              <w:rPr>
                <w:rFonts w:ascii="Arial Narrow" w:hAnsi="Arial Narrow"/>
                <w:sz w:val="17"/>
                <w:szCs w:val="17"/>
              </w:rPr>
              <w:t>ing</w:t>
            </w:r>
            <w:r w:rsidRPr="00BA2288">
              <w:rPr>
                <w:rFonts w:ascii="Arial Narrow" w:hAnsi="Arial Narrow"/>
                <w:sz w:val="17"/>
                <w:szCs w:val="17"/>
              </w:rPr>
              <w:t>, and evaluat</w:t>
            </w:r>
            <w:r>
              <w:rPr>
                <w:rFonts w:ascii="Arial Narrow" w:hAnsi="Arial Narrow"/>
                <w:sz w:val="17"/>
                <w:szCs w:val="17"/>
              </w:rPr>
              <w:t>ing</w:t>
            </w:r>
            <w:r w:rsidRPr="00BA2288">
              <w:rPr>
                <w:rFonts w:ascii="Arial Narrow" w:hAnsi="Arial Narrow"/>
                <w:sz w:val="17"/>
                <w:szCs w:val="17"/>
              </w:rPr>
              <w:t xml:space="preserve"> effective program and policy strategies</w:t>
            </w:r>
          </w:p>
          <w:p w:rsidR="009672EF" w:rsidRPr="00BA2288" w:rsidRDefault="009672EF" w:rsidP="009672EF">
            <w:pPr>
              <w:pStyle w:val="ListParagraph"/>
              <w:numPr>
                <w:ilvl w:val="0"/>
                <w:numId w:val="33"/>
              </w:numPr>
              <w:ind w:left="345" w:hanging="180"/>
              <w:rPr>
                <w:rFonts w:ascii="Arial Narrow" w:hAnsi="Arial Narrow"/>
                <w:sz w:val="17"/>
                <w:szCs w:val="17"/>
              </w:rPr>
            </w:pPr>
            <w:r w:rsidRPr="00BA2288">
              <w:rPr>
                <w:rFonts w:ascii="Arial Narrow" w:hAnsi="Arial Narrow"/>
                <w:sz w:val="17"/>
                <w:szCs w:val="17"/>
              </w:rPr>
              <w:t>Engag</w:t>
            </w:r>
            <w:r>
              <w:rPr>
                <w:rFonts w:ascii="Arial Narrow" w:hAnsi="Arial Narrow"/>
                <w:sz w:val="17"/>
                <w:szCs w:val="17"/>
              </w:rPr>
              <w:t>e</w:t>
            </w:r>
            <w:r w:rsidRPr="00BA2288">
              <w:rPr>
                <w:rFonts w:ascii="Arial Narrow" w:hAnsi="Arial Narrow"/>
                <w:sz w:val="17"/>
                <w:szCs w:val="17"/>
              </w:rPr>
              <w:t xml:space="preserve"> partners for collaboration</w:t>
            </w:r>
          </w:p>
          <w:p w:rsidR="009672EF" w:rsidRPr="00BA2288" w:rsidRDefault="009672EF" w:rsidP="009672EF">
            <w:pPr>
              <w:pStyle w:val="ListParagraph"/>
              <w:numPr>
                <w:ilvl w:val="0"/>
                <w:numId w:val="33"/>
              </w:numPr>
              <w:ind w:left="345" w:hanging="180"/>
              <w:rPr>
                <w:rFonts w:ascii="Arial Narrow" w:hAnsi="Arial Narrow"/>
                <w:sz w:val="17"/>
                <w:szCs w:val="17"/>
              </w:rPr>
            </w:pPr>
            <w:r>
              <w:rPr>
                <w:rFonts w:ascii="Arial Narrow" w:hAnsi="Arial Narrow"/>
                <w:sz w:val="17"/>
                <w:szCs w:val="17"/>
              </w:rPr>
              <w:t>Effectively communicate</w:t>
            </w:r>
            <w:r w:rsidRPr="00BA2288">
              <w:rPr>
                <w:rFonts w:ascii="Arial Narrow" w:hAnsi="Arial Narrow"/>
                <w:sz w:val="17"/>
                <w:szCs w:val="17"/>
              </w:rPr>
              <w:t xml:space="preserve"> information to key stakeholders</w:t>
            </w:r>
          </w:p>
          <w:p w:rsidR="009672EF" w:rsidRDefault="009672EF" w:rsidP="009672EF">
            <w:pPr>
              <w:numPr>
                <w:ilvl w:val="0"/>
                <w:numId w:val="33"/>
              </w:numPr>
              <w:ind w:left="345" w:hanging="180"/>
              <w:rPr>
                <w:rFonts w:ascii="Arial Narrow" w:hAnsi="Arial Narrow"/>
                <w:sz w:val="17"/>
                <w:szCs w:val="17"/>
              </w:rPr>
            </w:pPr>
            <w:r>
              <w:rPr>
                <w:rFonts w:ascii="Arial Narrow" w:hAnsi="Arial Narrow"/>
                <w:sz w:val="17"/>
                <w:szCs w:val="17"/>
              </w:rPr>
              <w:t>Provide</w:t>
            </w:r>
            <w:r w:rsidRPr="00BA2288">
              <w:rPr>
                <w:rFonts w:ascii="Arial Narrow" w:hAnsi="Arial Narrow"/>
                <w:sz w:val="17"/>
                <w:szCs w:val="17"/>
              </w:rPr>
              <w:t xml:space="preserve"> training and technical assistance</w:t>
            </w:r>
          </w:p>
          <w:p w:rsidR="00ED7D4F" w:rsidRPr="00A230DA" w:rsidRDefault="00ED7D4F" w:rsidP="00ED7D4F">
            <w:pPr>
              <w:rPr>
                <w:rFonts w:ascii="Arial Narrow" w:hAnsi="Arial Narrow"/>
                <w:sz w:val="17"/>
                <w:szCs w:val="17"/>
              </w:rPr>
            </w:pPr>
          </w:p>
          <w:p w:rsidR="00ED7D4F" w:rsidRPr="00ED7D4F" w:rsidRDefault="00ED7D4F" w:rsidP="00ED7D4F">
            <w:pPr>
              <w:spacing w:after="80"/>
              <w:rPr>
                <w:rFonts w:ascii="Arial Narrow" w:hAnsi="Arial Narrow"/>
                <w:b/>
                <w:caps/>
                <w:color w:val="00539B"/>
                <w:sz w:val="17"/>
                <w:szCs w:val="17"/>
              </w:rPr>
            </w:pPr>
            <w:r w:rsidRPr="00ED7D4F">
              <w:rPr>
                <w:rFonts w:ascii="Arial Narrow" w:hAnsi="Arial Narrow"/>
                <w:b/>
                <w:caps/>
                <w:color w:val="00539B"/>
                <w:sz w:val="17"/>
                <w:szCs w:val="17"/>
              </w:rPr>
              <w:t>Long-Term O</w:t>
            </w:r>
            <w:r w:rsidR="002F0305">
              <w:rPr>
                <w:rFonts w:ascii="Arial Narrow" w:hAnsi="Arial Narrow"/>
                <w:b/>
                <w:caps/>
                <w:color w:val="00539B"/>
                <w:sz w:val="17"/>
                <w:szCs w:val="17"/>
              </w:rPr>
              <w:t xml:space="preserve">utcomes </w:t>
            </w:r>
            <w:r w:rsidR="002F0305">
              <w:rPr>
                <w:rFonts w:ascii="Arial Narrow" w:hAnsi="Arial Narrow"/>
                <w:b/>
                <w:caps/>
                <w:color w:val="00539B"/>
                <w:sz w:val="17"/>
                <w:szCs w:val="17"/>
              </w:rPr>
              <w:br/>
              <w:t>(5</w:t>
            </w:r>
            <w:r w:rsidRPr="00ED7D4F">
              <w:rPr>
                <w:rFonts w:ascii="Arial Narrow" w:hAnsi="Arial Narrow"/>
                <w:b/>
                <w:caps/>
                <w:color w:val="00539B"/>
                <w:sz w:val="17"/>
                <w:szCs w:val="17"/>
              </w:rPr>
              <w:t>+ Years After the Project Period)</w:t>
            </w:r>
          </w:p>
          <w:p w:rsidR="00ED7D4F" w:rsidRPr="00ED7D4F" w:rsidRDefault="00ED7D4F" w:rsidP="00ED7D4F">
            <w:pPr>
              <w:pStyle w:val="ListParagraph"/>
              <w:numPr>
                <w:ilvl w:val="0"/>
                <w:numId w:val="32"/>
              </w:numPr>
              <w:ind w:left="342" w:hanging="162"/>
              <w:rPr>
                <w:rFonts w:ascii="Arial Narrow" w:hAnsi="Arial Narrow"/>
                <w:sz w:val="17"/>
                <w:szCs w:val="17"/>
              </w:rPr>
            </w:pPr>
            <w:r w:rsidRPr="00ED7D4F">
              <w:rPr>
                <w:rFonts w:ascii="Arial Narrow" w:hAnsi="Arial Narrow"/>
                <w:sz w:val="17"/>
                <w:szCs w:val="17"/>
              </w:rPr>
              <w:t>Increases in public awareness, knowledge, and positive behaviors associated with pedestrian injury prevention</w:t>
            </w:r>
          </w:p>
          <w:p w:rsidR="00ED7D4F" w:rsidRPr="00ED7D4F" w:rsidRDefault="00ED7D4F" w:rsidP="00ED7D4F">
            <w:pPr>
              <w:pStyle w:val="Heading1"/>
              <w:numPr>
                <w:ilvl w:val="0"/>
                <w:numId w:val="31"/>
              </w:numPr>
              <w:ind w:left="342" w:hanging="162"/>
              <w:rPr>
                <w:rFonts w:ascii="Arial Narrow" w:hAnsi="Arial Narrow"/>
                <w:sz w:val="17"/>
                <w:szCs w:val="17"/>
              </w:rPr>
            </w:pPr>
            <w:r w:rsidRPr="00ED7D4F">
              <w:rPr>
                <w:rFonts w:ascii="Arial Narrow" w:hAnsi="Arial Narrow"/>
                <w:b w:val="0"/>
                <w:sz w:val="17"/>
                <w:szCs w:val="17"/>
              </w:rPr>
              <w:t>Decreases in pedestrian injuries and fatalities in Action Team states and</w:t>
            </w:r>
            <w:r w:rsidR="00EC22D4">
              <w:rPr>
                <w:rFonts w:ascii="Arial Narrow" w:hAnsi="Arial Narrow"/>
                <w:b w:val="0"/>
                <w:sz w:val="17"/>
                <w:szCs w:val="17"/>
              </w:rPr>
              <w:t>/or</w:t>
            </w:r>
            <w:r w:rsidRPr="00ED7D4F">
              <w:rPr>
                <w:rFonts w:ascii="Arial Narrow" w:hAnsi="Arial Narrow"/>
                <w:b w:val="0"/>
                <w:sz w:val="17"/>
                <w:szCs w:val="17"/>
              </w:rPr>
              <w:t xml:space="preserve"> localities</w:t>
            </w: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bottom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cantSplit/>
          <w:trHeight w:val="68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E5F4D4"/>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Safe States and NHTSA provide demonstration grants to Action Team Lead Organizations</w:t>
            </w:r>
          </w:p>
        </w:tc>
        <w:tc>
          <w:tcPr>
            <w:tcW w:w="270" w:type="dxa"/>
            <w:vMerge/>
            <w:tcBorders>
              <w:top w:val="nil"/>
              <w:left w:val="nil"/>
              <w:bottom w:val="nil"/>
              <w:right w:val="nil"/>
            </w:tcBorders>
            <w:shd w:val="clear" w:color="auto" w:fill="E5F4D4"/>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E5F4D4"/>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Demonstration grants to Action Team Lead Organizations</w:t>
            </w:r>
          </w:p>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 xml:space="preserve"> (Four total)</w:t>
            </w: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top w:val="nil"/>
              <w:left w:val="nil"/>
              <w:bottom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cantSplit/>
          <w:trHeight w:val="1033"/>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bottom w:val="single" w:sz="4" w:space="0" w:color="auto"/>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bottom w:val="single" w:sz="4" w:space="0" w:color="auto"/>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bottom w:val="single" w:sz="4" w:space="0" w:color="auto"/>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E5DFEC" w:themeFill="accent4" w:themeFillTint="33"/>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Action Teams plan, facilitate, and evaluate trainings (based on principles from the Pedestrian Injury Prevention Workshop) for local organizations and agencies</w:t>
            </w:r>
          </w:p>
        </w:tc>
        <w:tc>
          <w:tcPr>
            <w:tcW w:w="270" w:type="dxa"/>
            <w:vMerge/>
            <w:tcBorders>
              <w:top w:val="nil"/>
              <w:left w:val="nil"/>
              <w:bottom w:val="nil"/>
              <w:right w:val="nil"/>
            </w:tcBorders>
            <w:shd w:val="clear" w:color="auto" w:fill="E5DFEC" w:themeFill="accent4" w:themeFillTint="33"/>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E5DFEC" w:themeFill="accent4" w:themeFillTint="33"/>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 xml:space="preserve">Local trainings </w:t>
            </w:r>
            <w:r w:rsidRPr="00ED7D4F">
              <w:rPr>
                <w:rFonts w:ascii="Arial Narrow" w:hAnsi="Arial Narrow"/>
                <w:sz w:val="17"/>
                <w:szCs w:val="17"/>
              </w:rPr>
              <w:br/>
              <w:t>(12 total – three trainings per Action Team)</w:t>
            </w:r>
          </w:p>
        </w:tc>
        <w:tc>
          <w:tcPr>
            <w:tcW w:w="270" w:type="dxa"/>
            <w:vMerge/>
            <w:tcBorders>
              <w:left w:val="nil"/>
              <w:bottom w:val="single" w:sz="4" w:space="0" w:color="auto"/>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bottom w:val="single" w:sz="4" w:space="0" w:color="auto"/>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top w:val="nil"/>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668"/>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bottom w:val="single" w:sz="4" w:space="0" w:color="auto"/>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bottom w:val="single" w:sz="4" w:space="0" w:color="auto"/>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bottom w:val="single" w:sz="4" w:space="0" w:color="auto"/>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FFEEB9"/>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Action Teams provide mini-grants to local organizations</w:t>
            </w:r>
            <w:r w:rsidR="00A03D4E">
              <w:rPr>
                <w:rFonts w:ascii="Arial Narrow" w:hAnsi="Arial Narrow"/>
                <w:b w:val="0"/>
                <w:sz w:val="17"/>
                <w:szCs w:val="17"/>
              </w:rPr>
              <w:t xml:space="preserve"> working in pedestrian safety</w:t>
            </w:r>
          </w:p>
        </w:tc>
        <w:tc>
          <w:tcPr>
            <w:tcW w:w="270" w:type="dxa"/>
            <w:vMerge/>
            <w:tcBorders>
              <w:left w:val="nil"/>
              <w:bottom w:val="single" w:sz="4" w:space="0" w:color="auto"/>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FFEEB9"/>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Mini-grants to local agencies to support pedestrian injury prevention-related staff and activities (12 mini-grants total)</w:t>
            </w:r>
          </w:p>
        </w:tc>
        <w:tc>
          <w:tcPr>
            <w:tcW w:w="270" w:type="dxa"/>
            <w:vMerge/>
            <w:tcBorders>
              <w:left w:val="nil"/>
              <w:bottom w:val="single" w:sz="4" w:space="0" w:color="auto"/>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bottom w:val="single" w:sz="4" w:space="0" w:color="auto"/>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auto"/>
            <w:vAlign w:val="center"/>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vAlign w:val="center"/>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auto"/>
            <w:vAlign w:val="center"/>
          </w:tcPr>
          <w:p w:rsidR="00ED7D4F" w:rsidRPr="00ED7D4F" w:rsidRDefault="00ED7D4F" w:rsidP="00ED7D4F">
            <w:pPr>
              <w:rPr>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707"/>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shd w:val="clear" w:color="auto" w:fill="DAEEF3" w:themeFill="accent5" w:themeFillTint="33"/>
          </w:tcPr>
          <w:p w:rsidR="00ED7D4F" w:rsidRPr="00ED7D4F" w:rsidRDefault="00ED7D4F" w:rsidP="00ED7D4F">
            <w:pPr>
              <w:rPr>
                <w:rFonts w:ascii="Arial Narrow" w:hAnsi="Arial Narrow"/>
                <w:b/>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D4FCEF"/>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Mini-grantees implement pedestrian injury prevention interventions</w:t>
            </w: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D4FCEF"/>
            <w:vAlign w:val="center"/>
          </w:tcPr>
          <w:p w:rsidR="00ED7D4F" w:rsidRPr="00ED7D4F" w:rsidRDefault="00ED7D4F" w:rsidP="00ED7D4F">
            <w:pPr>
              <w:jc w:val="center"/>
              <w:rPr>
                <w:rFonts w:ascii="Arial Narrow" w:hAnsi="Arial Narrow"/>
                <w:sz w:val="17"/>
                <w:szCs w:val="17"/>
              </w:rPr>
            </w:pPr>
            <w:r w:rsidRPr="00ED7D4F">
              <w:rPr>
                <w:rFonts w:ascii="Arial Narrow" w:hAnsi="Arial Narrow"/>
                <w:sz w:val="17"/>
                <w:szCs w:val="17"/>
              </w:rPr>
              <w:t>Educati</w:t>
            </w:r>
            <w:r w:rsidR="008D4775">
              <w:rPr>
                <w:rFonts w:ascii="Arial Narrow" w:hAnsi="Arial Narrow"/>
                <w:sz w:val="17"/>
                <w:szCs w:val="17"/>
              </w:rPr>
              <w:t xml:space="preserve">on, evaluation, or enforcement </w:t>
            </w:r>
            <w:r w:rsidRPr="00ED7D4F">
              <w:rPr>
                <w:rFonts w:ascii="Arial Narrow" w:hAnsi="Arial Narrow"/>
                <w:sz w:val="17"/>
                <w:szCs w:val="17"/>
              </w:rPr>
              <w:t xml:space="preserve">interventions </w:t>
            </w:r>
            <w:r w:rsidR="00550EBE">
              <w:rPr>
                <w:rFonts w:ascii="Arial Narrow" w:hAnsi="Arial Narrow"/>
                <w:sz w:val="17"/>
                <w:szCs w:val="17"/>
              </w:rPr>
              <w:t>implemented by mini-grantees</w:t>
            </w:r>
            <w:r w:rsidR="00550EBE">
              <w:rPr>
                <w:rFonts w:ascii="Arial Narrow" w:hAnsi="Arial Narrow"/>
                <w:sz w:val="17"/>
                <w:szCs w:val="17"/>
              </w:rPr>
              <w:br/>
              <w:t>(27</w:t>
            </w:r>
            <w:r w:rsidRPr="00ED7D4F">
              <w:rPr>
                <w:rFonts w:ascii="Arial Narrow" w:hAnsi="Arial Narrow"/>
                <w:sz w:val="17"/>
                <w:szCs w:val="17"/>
              </w:rPr>
              <w:t xml:space="preserve"> interventions total)</w:t>
            </w: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numPr>
                <w:ilvl w:val="0"/>
                <w:numId w:val="31"/>
              </w:numPr>
              <w:ind w:left="162" w:hanging="162"/>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cantSplit/>
          <w:trHeight w:val="662"/>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DBE5F1" w:themeFill="accent1" w:themeFillTint="33"/>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Mini-grantees create communication tools to support interventions</w:t>
            </w: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shd w:val="clear" w:color="auto" w:fill="DBE5F1" w:themeFill="accent1" w:themeFillTint="33"/>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Communication tools to promote pedestrian injury prevention knowledge and behaviors</w:t>
            </w: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vAlign w:val="center"/>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vAlign w:val="center"/>
          </w:tcPr>
          <w:p w:rsidR="00ED7D4F" w:rsidRPr="00ED7D4F" w:rsidRDefault="00ED7D4F" w:rsidP="00ED7D4F">
            <w:pPr>
              <w:pStyle w:val="Heading1"/>
              <w:rPr>
                <w:rFonts w:ascii="Arial Narrow" w:hAnsi="Arial Narrow"/>
                <w:b w:val="0"/>
                <w:noProof/>
                <w:sz w:val="17"/>
                <w:szCs w:val="17"/>
              </w:rPr>
            </w:pPr>
          </w:p>
        </w:tc>
        <w:tc>
          <w:tcPr>
            <w:tcW w:w="2430" w:type="dxa"/>
            <w:tcBorders>
              <w:top w:val="nil"/>
              <w:left w:val="nil"/>
              <w:bottom w:val="nil"/>
              <w:right w:val="nil"/>
            </w:tcBorders>
            <w:vAlign w:val="center"/>
          </w:tcPr>
          <w:p w:rsidR="00ED7D4F" w:rsidRPr="00ED7D4F" w:rsidRDefault="00ED7D4F" w:rsidP="00ED7D4F">
            <w:pPr>
              <w:pStyle w:val="Heading1"/>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trHeight w:val="563"/>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CCFCD1"/>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 xml:space="preserve">Action Team Lead Organizations report on programmatic activities </w:t>
            </w:r>
          </w:p>
        </w:tc>
        <w:tc>
          <w:tcPr>
            <w:tcW w:w="270" w:type="dxa"/>
            <w:vMerge/>
            <w:tcBorders>
              <w:left w:val="nil"/>
              <w:bottom w:val="nil"/>
              <w:right w:val="nil"/>
            </w:tcBorders>
            <w:vAlign w:val="center"/>
          </w:tcPr>
          <w:p w:rsidR="00ED7D4F" w:rsidRPr="00ED7D4F" w:rsidRDefault="00ED7D4F" w:rsidP="00ED7D4F">
            <w:pPr>
              <w:pStyle w:val="Heading1"/>
              <w:jc w:val="center"/>
              <w:rPr>
                <w:rFonts w:ascii="Arial Narrow" w:hAnsi="Arial Narrow"/>
                <w:b w:val="0"/>
                <w:noProof/>
                <w:sz w:val="17"/>
                <w:szCs w:val="17"/>
              </w:rPr>
            </w:pPr>
          </w:p>
        </w:tc>
        <w:tc>
          <w:tcPr>
            <w:tcW w:w="2430" w:type="dxa"/>
            <w:tcBorders>
              <w:top w:val="nil"/>
              <w:left w:val="nil"/>
              <w:bottom w:val="nil"/>
              <w:right w:val="nil"/>
            </w:tcBorders>
            <w:shd w:val="clear" w:color="auto" w:fill="CCFCD1"/>
            <w:vAlign w:val="center"/>
          </w:tcPr>
          <w:p w:rsidR="00ED7D4F" w:rsidRPr="00ED7D4F" w:rsidRDefault="00ED7D4F" w:rsidP="00ED7D4F">
            <w:pPr>
              <w:pStyle w:val="Heading1"/>
              <w:jc w:val="center"/>
              <w:rPr>
                <w:rFonts w:ascii="Arial Narrow" w:hAnsi="Arial Narrow"/>
                <w:b w:val="0"/>
                <w:sz w:val="17"/>
                <w:szCs w:val="17"/>
              </w:rPr>
            </w:pPr>
            <w:r w:rsidRPr="00ED7D4F">
              <w:rPr>
                <w:rFonts w:ascii="Arial Narrow" w:hAnsi="Arial Narrow"/>
                <w:b w:val="0"/>
                <w:sz w:val="17"/>
                <w:szCs w:val="17"/>
              </w:rPr>
              <w:t>Action Team quarterly reports (Four reports per Action Team)</w:t>
            </w: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trHeight w:val="70"/>
        </w:trPr>
        <w:tc>
          <w:tcPr>
            <w:tcW w:w="3258" w:type="dxa"/>
            <w:vMerge/>
            <w:tcBorders>
              <w:top w:val="nil"/>
              <w:left w:val="nil"/>
              <w:bottom w:val="single" w:sz="4" w:space="0" w:color="auto"/>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auto"/>
            <w:vAlign w:val="center"/>
          </w:tcPr>
          <w:p w:rsidR="00ED7D4F" w:rsidRPr="00ED7D4F" w:rsidRDefault="00ED7D4F" w:rsidP="00ED7D4F">
            <w:pPr>
              <w:pStyle w:val="Heading1"/>
              <w:jc w:val="center"/>
              <w:rPr>
                <w:rFonts w:ascii="Arial Narrow" w:hAnsi="Arial Narrow"/>
                <w:b w:val="0"/>
                <w:sz w:val="17"/>
                <w:szCs w:val="17"/>
              </w:rPr>
            </w:pPr>
          </w:p>
        </w:tc>
        <w:tc>
          <w:tcPr>
            <w:tcW w:w="270" w:type="dxa"/>
            <w:vMerge/>
            <w:tcBorders>
              <w:top w:val="nil"/>
              <w:left w:val="nil"/>
              <w:bottom w:val="nil"/>
              <w:right w:val="nil"/>
            </w:tcBorders>
            <w:shd w:val="clear" w:color="auto" w:fill="auto"/>
            <w:vAlign w:val="center"/>
          </w:tcPr>
          <w:p w:rsidR="00ED7D4F" w:rsidRPr="00ED7D4F" w:rsidRDefault="00ED7D4F" w:rsidP="00ED7D4F">
            <w:pPr>
              <w:pStyle w:val="Heading1"/>
              <w:jc w:val="center"/>
              <w:rPr>
                <w:rFonts w:ascii="Arial Narrow" w:hAnsi="Arial Narrow"/>
                <w:b w:val="0"/>
                <w:noProof/>
                <w:sz w:val="17"/>
                <w:szCs w:val="17"/>
              </w:rPr>
            </w:pPr>
          </w:p>
        </w:tc>
        <w:tc>
          <w:tcPr>
            <w:tcW w:w="2430" w:type="dxa"/>
            <w:tcBorders>
              <w:top w:val="nil"/>
              <w:left w:val="nil"/>
              <w:bottom w:val="nil"/>
              <w:right w:val="nil"/>
            </w:tcBorders>
            <w:shd w:val="clear" w:color="auto" w:fill="auto"/>
            <w:vAlign w:val="center"/>
          </w:tcPr>
          <w:p w:rsidR="00ED7D4F" w:rsidRPr="00ED7D4F" w:rsidRDefault="00ED7D4F" w:rsidP="00ED7D4F">
            <w:pPr>
              <w:pStyle w:val="Heading1"/>
              <w:jc w:val="center"/>
              <w:rPr>
                <w:rFonts w:ascii="Arial Narrow" w:hAnsi="Arial Narrow"/>
                <w:b w:val="0"/>
                <w:sz w:val="17"/>
                <w:szCs w:val="17"/>
              </w:rPr>
            </w:pPr>
          </w:p>
        </w:tc>
        <w:tc>
          <w:tcPr>
            <w:tcW w:w="270" w:type="dxa"/>
            <w:vMerge/>
            <w:tcBorders>
              <w:left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trHeight w:val="465"/>
        </w:trPr>
        <w:tc>
          <w:tcPr>
            <w:tcW w:w="3258" w:type="dxa"/>
            <w:vMerge/>
            <w:tcBorders>
              <w:top w:val="nil"/>
              <w:left w:val="nil"/>
              <w:bottom w:val="nil"/>
              <w:right w:val="nil"/>
            </w:tcBorders>
            <w:shd w:val="clear" w:color="auto" w:fill="F4F3EC"/>
          </w:tcPr>
          <w:p w:rsidR="00ED7D4F" w:rsidRPr="00ED7D4F" w:rsidRDefault="00ED7D4F" w:rsidP="00ED7D4F">
            <w:pPr>
              <w:pStyle w:val="Heading1"/>
              <w:shd w:val="clear" w:color="auto" w:fill="F2DBDB" w:themeFill="accent2" w:themeFillTint="33"/>
              <w:rPr>
                <w:rFonts w:ascii="Arial Narrow" w:hAnsi="Arial Narrow"/>
                <w:b w:val="0"/>
                <w:sz w:val="17"/>
                <w:szCs w:val="17"/>
              </w:rPr>
            </w:pPr>
          </w:p>
        </w:tc>
        <w:tc>
          <w:tcPr>
            <w:tcW w:w="270" w:type="dxa"/>
            <w:vMerge/>
            <w:tcBorders>
              <w:left w:val="nil"/>
              <w:bottom w:val="nil"/>
              <w:right w:val="nil"/>
            </w:tcBorders>
            <w:shd w:val="clear" w:color="auto" w:fill="auto"/>
          </w:tcPr>
          <w:p w:rsidR="00ED7D4F" w:rsidRPr="00ED7D4F" w:rsidRDefault="00ED7D4F" w:rsidP="00ED7D4F">
            <w:pPr>
              <w:pStyle w:val="Heading1"/>
              <w:rPr>
                <w:rFonts w:ascii="Arial Narrow" w:hAnsi="Arial Narrow"/>
                <w:b w:val="0"/>
                <w:noProof/>
                <w:sz w:val="17"/>
                <w:szCs w:val="17"/>
              </w:rPr>
            </w:pPr>
          </w:p>
        </w:tc>
        <w:tc>
          <w:tcPr>
            <w:tcW w:w="1800" w:type="dxa"/>
            <w:vMerge/>
            <w:tcBorders>
              <w:left w:val="nil"/>
              <w:bottom w:val="nil"/>
              <w:right w:val="nil"/>
            </w:tcBorders>
          </w:tcPr>
          <w:p w:rsidR="00ED7D4F" w:rsidRPr="00ED7D4F" w:rsidRDefault="00ED7D4F" w:rsidP="00ED7D4F">
            <w:pPr>
              <w:pStyle w:val="Heading1"/>
              <w:rPr>
                <w:rFonts w:ascii="Arial Narrow" w:hAnsi="Arial Narrow"/>
                <w:b w:val="0"/>
                <w:i/>
                <w:sz w:val="17"/>
                <w:szCs w:val="17"/>
              </w:rPr>
            </w:pPr>
          </w:p>
        </w:tc>
        <w:tc>
          <w:tcPr>
            <w:tcW w:w="270" w:type="dxa"/>
            <w:vMerge/>
            <w:tcBorders>
              <w:left w:val="nil"/>
              <w:bottom w:val="nil"/>
              <w:right w:val="nil"/>
            </w:tcBorders>
          </w:tcPr>
          <w:p w:rsidR="00ED7D4F" w:rsidRPr="00ED7D4F" w:rsidRDefault="00ED7D4F" w:rsidP="00ED7D4F">
            <w:pPr>
              <w:pStyle w:val="Heading1"/>
              <w:rPr>
                <w:rFonts w:ascii="Arial Narrow" w:hAnsi="Arial Narrow"/>
                <w:b w:val="0"/>
                <w:noProof/>
                <w:sz w:val="17"/>
                <w:szCs w:val="17"/>
              </w:rPr>
            </w:pPr>
          </w:p>
        </w:tc>
        <w:tc>
          <w:tcPr>
            <w:tcW w:w="2430" w:type="dxa"/>
            <w:gridSpan w:val="2"/>
            <w:tcBorders>
              <w:top w:val="nil"/>
              <w:left w:val="nil"/>
              <w:bottom w:val="nil"/>
              <w:right w:val="nil"/>
            </w:tcBorders>
            <w:shd w:val="clear" w:color="auto" w:fill="E4F6B8"/>
            <w:vAlign w:val="center"/>
          </w:tcPr>
          <w:p w:rsidR="00A03D4E" w:rsidRPr="00A03D4E" w:rsidRDefault="00A03D4E" w:rsidP="00A03D4E">
            <w:pPr>
              <w:pStyle w:val="Heading1"/>
              <w:jc w:val="center"/>
              <w:rPr>
                <w:rFonts w:ascii="Arial Narrow" w:hAnsi="Arial Narrow"/>
                <w:b w:val="0"/>
                <w:sz w:val="17"/>
                <w:szCs w:val="17"/>
              </w:rPr>
            </w:pPr>
            <w:r w:rsidRPr="00A03D4E">
              <w:rPr>
                <w:rFonts w:ascii="Arial Narrow" w:hAnsi="Arial Narrow"/>
                <w:b w:val="0"/>
                <w:sz w:val="17"/>
                <w:szCs w:val="17"/>
              </w:rPr>
              <w:t>Safe States facilitates the “Pedestrian Injury</w:t>
            </w:r>
            <w:r>
              <w:rPr>
                <w:rFonts w:ascii="Arial Narrow" w:hAnsi="Arial Narrow"/>
                <w:b w:val="0"/>
                <w:sz w:val="17"/>
                <w:szCs w:val="17"/>
              </w:rPr>
              <w:t xml:space="preserve"> </w:t>
            </w:r>
            <w:r w:rsidRPr="00A03D4E">
              <w:rPr>
                <w:rFonts w:ascii="Arial Narrow" w:hAnsi="Arial Narrow"/>
                <w:b w:val="0"/>
                <w:sz w:val="17"/>
                <w:szCs w:val="17"/>
              </w:rPr>
              <w:t>Prevention Community of Practice (CoP),”</w:t>
            </w:r>
            <w:r>
              <w:rPr>
                <w:rFonts w:ascii="Arial Narrow" w:hAnsi="Arial Narrow"/>
                <w:b w:val="0"/>
                <w:sz w:val="17"/>
                <w:szCs w:val="17"/>
              </w:rPr>
              <w:t xml:space="preserve"> </w:t>
            </w:r>
            <w:r w:rsidRPr="00A03D4E">
              <w:rPr>
                <w:rFonts w:ascii="Arial Narrow" w:hAnsi="Arial Narrow"/>
                <w:b w:val="0"/>
                <w:sz w:val="17"/>
                <w:szCs w:val="17"/>
              </w:rPr>
              <w:t>an</w:t>
            </w:r>
            <w:r>
              <w:rPr>
                <w:rFonts w:ascii="Arial Narrow" w:hAnsi="Arial Narrow"/>
                <w:b w:val="0"/>
                <w:sz w:val="17"/>
                <w:szCs w:val="17"/>
              </w:rPr>
              <w:t xml:space="preserve"> online community that provides </w:t>
            </w:r>
            <w:r w:rsidRPr="00A03D4E">
              <w:rPr>
                <w:rFonts w:ascii="Arial Narrow" w:hAnsi="Arial Narrow"/>
                <w:b w:val="0"/>
                <w:sz w:val="17"/>
                <w:szCs w:val="17"/>
              </w:rPr>
              <w:t>program</w:t>
            </w:r>
            <w:r>
              <w:rPr>
                <w:rFonts w:ascii="Arial Narrow" w:hAnsi="Arial Narrow"/>
                <w:b w:val="0"/>
                <w:sz w:val="17"/>
                <w:szCs w:val="17"/>
              </w:rPr>
              <w:t xml:space="preserve"> </w:t>
            </w:r>
            <w:r w:rsidRPr="00A03D4E">
              <w:rPr>
                <w:rFonts w:ascii="Arial Narrow" w:hAnsi="Arial Narrow"/>
                <w:b w:val="0"/>
                <w:sz w:val="17"/>
                <w:szCs w:val="17"/>
              </w:rPr>
              <w:t>participants with opportunities to exchange</w:t>
            </w:r>
          </w:p>
          <w:p w:rsidR="00ED7D4F" w:rsidRPr="00ED7D4F" w:rsidRDefault="00A03D4E" w:rsidP="00A03D4E">
            <w:pPr>
              <w:pStyle w:val="Heading1"/>
              <w:jc w:val="center"/>
              <w:rPr>
                <w:rFonts w:ascii="Arial Narrow" w:hAnsi="Arial Narrow"/>
                <w:b w:val="0"/>
                <w:sz w:val="17"/>
                <w:szCs w:val="17"/>
              </w:rPr>
            </w:pPr>
            <w:r w:rsidRPr="00A03D4E">
              <w:rPr>
                <w:rFonts w:ascii="Arial Narrow" w:hAnsi="Arial Narrow"/>
                <w:b w:val="0"/>
                <w:sz w:val="17"/>
                <w:szCs w:val="17"/>
              </w:rPr>
              <w:t>ideas, information, and resources.</w:t>
            </w:r>
          </w:p>
        </w:tc>
        <w:tc>
          <w:tcPr>
            <w:tcW w:w="270" w:type="dxa"/>
            <w:vMerge/>
            <w:tcBorders>
              <w:top w:val="nil"/>
              <w:left w:val="nil"/>
              <w:bottom w:val="nil"/>
              <w:right w:val="nil"/>
            </w:tcBorders>
            <w:shd w:val="clear" w:color="auto" w:fill="E4F6B8"/>
            <w:vAlign w:val="center"/>
          </w:tcPr>
          <w:p w:rsidR="00ED7D4F" w:rsidRPr="00ED7D4F" w:rsidRDefault="00ED7D4F" w:rsidP="00ED7D4F">
            <w:pPr>
              <w:pStyle w:val="Heading1"/>
              <w:jc w:val="center"/>
              <w:rPr>
                <w:rFonts w:ascii="Arial Narrow" w:hAnsi="Arial Narrow"/>
                <w:b w:val="0"/>
                <w:noProof/>
                <w:sz w:val="17"/>
                <w:szCs w:val="17"/>
              </w:rPr>
            </w:pPr>
          </w:p>
        </w:tc>
        <w:tc>
          <w:tcPr>
            <w:tcW w:w="2430" w:type="dxa"/>
            <w:tcBorders>
              <w:top w:val="nil"/>
              <w:left w:val="nil"/>
              <w:bottom w:val="nil"/>
              <w:right w:val="nil"/>
            </w:tcBorders>
            <w:shd w:val="clear" w:color="auto" w:fill="E4F6B8"/>
            <w:vAlign w:val="center"/>
          </w:tcPr>
          <w:p w:rsidR="00ED7D4F" w:rsidRPr="00ED7D4F" w:rsidRDefault="00A03D4E" w:rsidP="00A03D4E">
            <w:pPr>
              <w:pStyle w:val="Heading1"/>
              <w:jc w:val="center"/>
              <w:rPr>
                <w:rFonts w:ascii="Arial Narrow" w:hAnsi="Arial Narrow"/>
                <w:b w:val="0"/>
                <w:sz w:val="17"/>
                <w:szCs w:val="17"/>
              </w:rPr>
            </w:pPr>
            <w:r w:rsidRPr="00A03D4E">
              <w:rPr>
                <w:rFonts w:ascii="Arial Narrow" w:hAnsi="Arial Narrow"/>
                <w:b w:val="0"/>
                <w:sz w:val="17"/>
                <w:szCs w:val="17"/>
              </w:rPr>
              <w:t>Posts on the online CoP created by Safe</w:t>
            </w:r>
            <w:r>
              <w:rPr>
                <w:rFonts w:ascii="Arial Narrow" w:hAnsi="Arial Narrow"/>
                <w:b w:val="0"/>
                <w:sz w:val="17"/>
                <w:szCs w:val="17"/>
              </w:rPr>
              <w:t xml:space="preserve"> States staff, Action Team </w:t>
            </w:r>
            <w:r w:rsidRPr="00A03D4E">
              <w:rPr>
                <w:rFonts w:ascii="Arial Narrow" w:hAnsi="Arial Narrow"/>
                <w:b w:val="0"/>
                <w:sz w:val="17"/>
                <w:szCs w:val="17"/>
              </w:rPr>
              <w:t>members, and</w:t>
            </w:r>
            <w:r>
              <w:rPr>
                <w:rFonts w:ascii="Arial Narrow" w:hAnsi="Arial Narrow"/>
                <w:b w:val="0"/>
                <w:sz w:val="17"/>
                <w:szCs w:val="17"/>
              </w:rPr>
              <w:t xml:space="preserve"> </w:t>
            </w:r>
            <w:r w:rsidRPr="00A03D4E">
              <w:rPr>
                <w:rFonts w:ascii="Arial Narrow" w:hAnsi="Arial Narrow"/>
                <w:b w:val="0"/>
                <w:sz w:val="17"/>
                <w:szCs w:val="17"/>
              </w:rPr>
              <w:t>mini-grantee staff</w:t>
            </w:r>
          </w:p>
        </w:tc>
        <w:tc>
          <w:tcPr>
            <w:tcW w:w="270" w:type="dxa"/>
            <w:vMerge/>
            <w:tcBorders>
              <w:left w:val="nil"/>
              <w:bottom w:val="nil"/>
              <w:right w:val="nil"/>
            </w:tcBorders>
          </w:tcPr>
          <w:p w:rsidR="00ED7D4F" w:rsidRPr="00ED7D4F" w:rsidRDefault="00ED7D4F" w:rsidP="00ED7D4F">
            <w:pPr>
              <w:pStyle w:val="Heading1"/>
              <w:rPr>
                <w:rFonts w:ascii="Arial Narrow" w:hAnsi="Arial Narrow"/>
                <w:b w:val="0"/>
                <w:i/>
                <w:sz w:val="17"/>
                <w:szCs w:val="17"/>
              </w:rPr>
            </w:pPr>
          </w:p>
        </w:tc>
        <w:tc>
          <w:tcPr>
            <w:tcW w:w="4230" w:type="dxa"/>
            <w:vMerge/>
            <w:tcBorders>
              <w:left w:val="nil"/>
              <w:bottom w:val="nil"/>
              <w:right w:val="nil"/>
            </w:tcBorders>
            <w:shd w:val="clear" w:color="auto" w:fill="F2F2F2" w:themeFill="background1" w:themeFillShade="F2"/>
          </w:tcPr>
          <w:p w:rsidR="00ED7D4F" w:rsidRPr="00ED7D4F" w:rsidRDefault="00ED7D4F" w:rsidP="00ED7D4F">
            <w:pPr>
              <w:pStyle w:val="Heading1"/>
              <w:rPr>
                <w:rFonts w:ascii="Arial Narrow" w:hAnsi="Arial Narrow"/>
                <w:b w:val="0"/>
                <w:i/>
                <w:sz w:val="17"/>
                <w:szCs w:val="17"/>
              </w:rPr>
            </w:pPr>
          </w:p>
        </w:tc>
      </w:tr>
      <w:tr w:rsidR="00ED7D4F" w:rsidTr="00ED7D4F">
        <w:trPr>
          <w:cantSplit/>
          <w:trHeight w:val="80"/>
        </w:trPr>
        <w:tc>
          <w:tcPr>
            <w:tcW w:w="15228" w:type="dxa"/>
            <w:gridSpan w:val="10"/>
            <w:tcBorders>
              <w:top w:val="nil"/>
              <w:left w:val="nil"/>
              <w:bottom w:val="nil"/>
              <w:right w:val="nil"/>
            </w:tcBorders>
            <w:shd w:val="clear" w:color="auto" w:fill="auto"/>
          </w:tcPr>
          <w:p w:rsidR="00ED7D4F" w:rsidRPr="00ED7D4F" w:rsidRDefault="00ED7D4F" w:rsidP="00ED7D4F">
            <w:pPr>
              <w:rPr>
                <w:rFonts w:ascii="Arial Narrow" w:hAnsi="Arial Narrow"/>
                <w:b/>
                <w:i/>
                <w:sz w:val="17"/>
                <w:szCs w:val="17"/>
              </w:rPr>
            </w:pPr>
          </w:p>
        </w:tc>
      </w:tr>
      <w:tr w:rsidR="00ED7D4F" w:rsidTr="00ED7D4F">
        <w:trPr>
          <w:cantSplit/>
          <w:trHeight w:val="1170"/>
        </w:trPr>
        <w:tc>
          <w:tcPr>
            <w:tcW w:w="7308" w:type="dxa"/>
            <w:gridSpan w:val="5"/>
            <w:tcBorders>
              <w:top w:val="nil"/>
              <w:left w:val="nil"/>
              <w:bottom w:val="nil"/>
              <w:right w:val="nil"/>
            </w:tcBorders>
            <w:shd w:val="clear" w:color="auto" w:fill="F8ECEC"/>
          </w:tcPr>
          <w:p w:rsidR="00ED7D4F" w:rsidRPr="00ED7D4F" w:rsidRDefault="00ED7D4F" w:rsidP="00ED7D4F">
            <w:pPr>
              <w:rPr>
                <w:rFonts w:ascii="Arial" w:hAnsi="Arial" w:cs="Arial"/>
                <w:caps/>
                <w:sz w:val="17"/>
                <w:szCs w:val="17"/>
              </w:rPr>
            </w:pPr>
            <w:r w:rsidRPr="00ED7D4F">
              <w:rPr>
                <w:rFonts w:ascii="Arial" w:hAnsi="Arial" w:cs="Arial"/>
                <w:b/>
                <w:bCs/>
                <w:caps/>
                <w:sz w:val="17"/>
                <w:szCs w:val="17"/>
              </w:rPr>
              <w:t>Assumptions</w:t>
            </w:r>
          </w:p>
          <w:p w:rsidR="00ED7D4F" w:rsidRPr="00ED7D4F" w:rsidRDefault="00ED7D4F" w:rsidP="00ED7D4F">
            <w:pPr>
              <w:pStyle w:val="ListParagraph"/>
              <w:numPr>
                <w:ilvl w:val="0"/>
                <w:numId w:val="18"/>
              </w:numPr>
              <w:ind w:left="270" w:hanging="180"/>
              <w:rPr>
                <w:rFonts w:ascii="Arial Narrow" w:hAnsi="Arial Narrow"/>
                <w:sz w:val="17"/>
                <w:szCs w:val="17"/>
              </w:rPr>
            </w:pPr>
            <w:r w:rsidRPr="00ED7D4F">
              <w:rPr>
                <w:rFonts w:ascii="Arial Narrow" w:hAnsi="Arial Narrow"/>
                <w:sz w:val="17"/>
                <w:szCs w:val="17"/>
              </w:rPr>
              <w:t>There is sufficient coordination and cooperation between agencies responsible for pedestrian injury prevention at state and local levels, including DOTs, and offices of highway safety and public works.</w:t>
            </w:r>
          </w:p>
          <w:p w:rsidR="00ED7D4F" w:rsidRPr="00ED7D4F" w:rsidRDefault="00ED7D4F" w:rsidP="00ED7D4F">
            <w:pPr>
              <w:pStyle w:val="ListParagraph"/>
              <w:numPr>
                <w:ilvl w:val="0"/>
                <w:numId w:val="18"/>
              </w:numPr>
              <w:ind w:left="270" w:hanging="180"/>
              <w:rPr>
                <w:rFonts w:ascii="Arial Narrow" w:hAnsi="Arial Narrow"/>
                <w:sz w:val="17"/>
                <w:szCs w:val="17"/>
              </w:rPr>
            </w:pPr>
            <w:r w:rsidRPr="00ED7D4F">
              <w:rPr>
                <w:rFonts w:ascii="Arial Narrow" w:hAnsi="Arial Narrow"/>
                <w:sz w:val="17"/>
                <w:szCs w:val="17"/>
              </w:rPr>
              <w:t>Grant funds are sufficient to support programmatic activities.</w:t>
            </w:r>
          </w:p>
          <w:p w:rsidR="00ED7D4F" w:rsidRPr="00ED7D4F" w:rsidRDefault="00ED7D4F" w:rsidP="00ED7D4F">
            <w:pPr>
              <w:pStyle w:val="ListParagraph"/>
              <w:numPr>
                <w:ilvl w:val="0"/>
                <w:numId w:val="18"/>
              </w:numPr>
              <w:ind w:left="270" w:hanging="180"/>
              <w:rPr>
                <w:rFonts w:ascii="Arial Narrow" w:hAnsi="Arial Narrow"/>
                <w:sz w:val="17"/>
                <w:szCs w:val="17"/>
              </w:rPr>
            </w:pPr>
            <w:r w:rsidRPr="00ED7D4F">
              <w:rPr>
                <w:rFonts w:ascii="Arial Narrow" w:hAnsi="Arial Narrow"/>
                <w:sz w:val="17"/>
                <w:szCs w:val="17"/>
              </w:rPr>
              <w:t xml:space="preserve">Grantees have knowledge of evidence-informed interventions, can implement interventions with fidelity, evaluate their interventions, and can improve interventions based on evaluation findings. </w:t>
            </w:r>
          </w:p>
          <w:p w:rsidR="00ED7D4F" w:rsidRPr="00ED7D4F" w:rsidRDefault="00ED7D4F" w:rsidP="00ED7D4F">
            <w:pPr>
              <w:pStyle w:val="ListParagraph"/>
              <w:numPr>
                <w:ilvl w:val="0"/>
                <w:numId w:val="18"/>
              </w:numPr>
              <w:ind w:left="270" w:hanging="180"/>
              <w:rPr>
                <w:rFonts w:ascii="Arial Narrow" w:hAnsi="Arial Narrow"/>
                <w:sz w:val="17"/>
                <w:szCs w:val="17"/>
              </w:rPr>
            </w:pPr>
            <w:r w:rsidRPr="00ED7D4F">
              <w:rPr>
                <w:rFonts w:ascii="Arial Narrow" w:hAnsi="Arial Narrow"/>
                <w:sz w:val="17"/>
                <w:szCs w:val="17"/>
              </w:rPr>
              <w:t xml:space="preserve">Sustained increases and/or enhancements in staff, collaborations, interventions, training, and communications related to pedestrian safety can lead to decreases in pedestrian injuries and fatalities. </w:t>
            </w:r>
          </w:p>
        </w:tc>
        <w:tc>
          <w:tcPr>
            <w:tcW w:w="7920" w:type="dxa"/>
            <w:gridSpan w:val="5"/>
            <w:tcBorders>
              <w:top w:val="nil"/>
              <w:left w:val="nil"/>
              <w:bottom w:val="nil"/>
              <w:right w:val="nil"/>
            </w:tcBorders>
            <w:shd w:val="clear" w:color="auto" w:fill="F8ECEC"/>
          </w:tcPr>
          <w:p w:rsidR="00ED7D4F" w:rsidRPr="00ED7D4F" w:rsidRDefault="00ED7D4F" w:rsidP="00ED7D4F">
            <w:pPr>
              <w:rPr>
                <w:rFonts w:ascii="Arial" w:hAnsi="Arial" w:cs="Arial"/>
                <w:caps/>
                <w:sz w:val="17"/>
                <w:szCs w:val="17"/>
              </w:rPr>
            </w:pPr>
            <w:r w:rsidRPr="00ED7D4F">
              <w:rPr>
                <w:rFonts w:ascii="Arial" w:hAnsi="Arial" w:cs="Arial"/>
                <w:b/>
                <w:bCs/>
                <w:caps/>
                <w:sz w:val="17"/>
                <w:szCs w:val="17"/>
              </w:rPr>
              <w:t>External Environment</w:t>
            </w:r>
          </w:p>
          <w:p w:rsidR="00ED7D4F" w:rsidRPr="00ED7D4F" w:rsidRDefault="00ED7D4F" w:rsidP="00ED7D4F">
            <w:pPr>
              <w:pStyle w:val="ListParagraph"/>
              <w:numPr>
                <w:ilvl w:val="0"/>
                <w:numId w:val="19"/>
              </w:numPr>
              <w:ind w:left="270" w:hanging="180"/>
              <w:rPr>
                <w:rFonts w:ascii="Arial Narrow" w:hAnsi="Arial Narrow"/>
                <w:sz w:val="17"/>
                <w:szCs w:val="17"/>
              </w:rPr>
            </w:pPr>
            <w:r w:rsidRPr="00ED7D4F">
              <w:rPr>
                <w:rFonts w:ascii="Arial Narrow" w:hAnsi="Arial Narrow"/>
                <w:sz w:val="17"/>
                <w:szCs w:val="17"/>
              </w:rPr>
              <w:t>Existence of state, city, and county-wide pedestrian safety action plans</w:t>
            </w:r>
          </w:p>
          <w:p w:rsidR="00ED7D4F" w:rsidRPr="00ED7D4F" w:rsidRDefault="00ED7D4F" w:rsidP="00ED7D4F">
            <w:pPr>
              <w:pStyle w:val="ListParagraph"/>
              <w:numPr>
                <w:ilvl w:val="0"/>
                <w:numId w:val="19"/>
              </w:numPr>
              <w:ind w:left="270" w:hanging="180"/>
              <w:rPr>
                <w:rFonts w:ascii="Arial Narrow" w:hAnsi="Arial Narrow"/>
                <w:sz w:val="17"/>
                <w:szCs w:val="17"/>
              </w:rPr>
            </w:pPr>
            <w:r w:rsidRPr="00ED7D4F">
              <w:rPr>
                <w:rFonts w:ascii="Arial Narrow" w:hAnsi="Arial Narrow"/>
                <w:sz w:val="17"/>
                <w:szCs w:val="17"/>
              </w:rPr>
              <w:t>Existence of the public and political will necessary to support the implementation and enforcement of pedestrian injury prevention programs and policies</w:t>
            </w:r>
          </w:p>
          <w:p w:rsidR="00ED7D4F" w:rsidRPr="00ED7D4F" w:rsidRDefault="00ED7D4F" w:rsidP="00ED7D4F">
            <w:pPr>
              <w:pStyle w:val="ListParagraph"/>
              <w:numPr>
                <w:ilvl w:val="0"/>
                <w:numId w:val="19"/>
              </w:numPr>
              <w:ind w:left="270" w:hanging="180"/>
              <w:rPr>
                <w:rFonts w:ascii="Arial Narrow" w:hAnsi="Arial Narrow"/>
                <w:sz w:val="17"/>
                <w:szCs w:val="17"/>
              </w:rPr>
            </w:pPr>
            <w:r w:rsidRPr="00ED7D4F">
              <w:rPr>
                <w:rFonts w:ascii="Arial Narrow" w:hAnsi="Arial Narrow"/>
                <w:sz w:val="17"/>
                <w:szCs w:val="17"/>
              </w:rPr>
              <w:t>Existence of highly coordinated efforts related to engineering, enforcement, education, and evaluation to support pedestrian safety at state and local levels</w:t>
            </w:r>
          </w:p>
          <w:p w:rsidR="00ED7D4F" w:rsidRPr="00ED7D4F" w:rsidRDefault="00ED7D4F" w:rsidP="00ED7D4F">
            <w:pPr>
              <w:pStyle w:val="ListParagraph"/>
              <w:numPr>
                <w:ilvl w:val="0"/>
                <w:numId w:val="19"/>
              </w:numPr>
              <w:ind w:left="270" w:hanging="180"/>
              <w:rPr>
                <w:rFonts w:ascii="Arial Narrow" w:hAnsi="Arial Narrow"/>
                <w:sz w:val="17"/>
                <w:szCs w:val="17"/>
              </w:rPr>
            </w:pPr>
            <w:r w:rsidRPr="00ED7D4F">
              <w:rPr>
                <w:rFonts w:ascii="Arial Narrow" w:hAnsi="Arial Narrow"/>
                <w:sz w:val="17"/>
                <w:szCs w:val="17"/>
              </w:rPr>
              <w:t>Availability of sustained funding sufficient to support pedestrian injury prevention programs and policies</w:t>
            </w:r>
          </w:p>
          <w:p w:rsidR="00ED7D4F" w:rsidRPr="00ED7D4F" w:rsidRDefault="00ED7D4F" w:rsidP="00ED7D4F">
            <w:pPr>
              <w:pStyle w:val="ListParagraph"/>
              <w:numPr>
                <w:ilvl w:val="0"/>
                <w:numId w:val="19"/>
              </w:numPr>
              <w:ind w:left="270" w:hanging="180"/>
              <w:rPr>
                <w:rFonts w:ascii="Arial Narrow" w:hAnsi="Arial Narrow"/>
                <w:sz w:val="17"/>
                <w:szCs w:val="17"/>
              </w:rPr>
            </w:pPr>
            <w:r w:rsidRPr="00ED7D4F">
              <w:rPr>
                <w:rFonts w:ascii="Arial Narrow" w:hAnsi="Arial Narrow"/>
                <w:sz w:val="17"/>
                <w:szCs w:val="17"/>
              </w:rPr>
              <w:t>Existence and retention of well-trained staff responsible for addressing pedestrian injury prevention</w:t>
            </w:r>
          </w:p>
        </w:tc>
      </w:tr>
    </w:tbl>
    <w:p w:rsidR="00947274" w:rsidRPr="007056DF" w:rsidRDefault="00ED7D4F" w:rsidP="008238C2">
      <w:pPr>
        <w:pStyle w:val="Heading2"/>
        <w:jc w:val="center"/>
        <w:rPr>
          <w:rFonts w:ascii="Arial Black" w:hAnsi="Arial Black"/>
          <w:b/>
          <w:caps/>
          <w:color w:val="C00000"/>
          <w:u w:val="none"/>
        </w:rPr>
      </w:pPr>
      <w:r w:rsidRPr="00ED7D4F">
        <w:rPr>
          <w:rFonts w:ascii="Arial Black" w:hAnsi="Arial Black"/>
          <w:b/>
          <w:bCs/>
          <w:caps/>
          <w:noProof/>
          <w:color w:val="00539B"/>
          <w:u w:val="none"/>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-112395</wp:posOffset>
            </wp:positionV>
            <wp:extent cx="2413000" cy="333375"/>
            <wp:effectExtent l="19050" t="0" r="6350" b="0"/>
            <wp:wrapSquare wrapText="bothSides"/>
            <wp:docPr id="1" name="Picture 39" descr="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COLOR"/>
                    <pic:cNvPicPr>
                      <a:picLocks noChangeAspect="1" noChangeArrowheads="1"/>
                    </pic:cNvPicPr>
                  </pic:nvPicPr>
                  <pic:blipFill>
                    <a:blip r:embed="rId7" cstate="print"/>
                    <a:srcRect/>
                    <a:stretch>
                      <a:fillRect/>
                    </a:stretch>
                  </pic:blipFill>
                  <pic:spPr bwMode="auto">
                    <a:xfrm>
                      <a:off x="0" y="0"/>
                      <a:ext cx="2413000" cy="333375"/>
                    </a:xfrm>
                    <a:prstGeom prst="rect">
                      <a:avLst/>
                    </a:prstGeom>
                    <a:noFill/>
                    <a:ln w="9525">
                      <a:noFill/>
                      <a:miter lim="800000"/>
                      <a:headEnd/>
                      <a:tailEnd/>
                    </a:ln>
                  </pic:spPr>
                </pic:pic>
              </a:graphicData>
            </a:graphic>
          </wp:anchor>
        </w:drawing>
      </w:r>
      <w:r w:rsidRPr="00ED7D4F">
        <w:rPr>
          <w:rFonts w:ascii="Arial Black" w:hAnsi="Arial Black"/>
          <w:b/>
          <w:caps/>
          <w:color w:val="C00000"/>
          <w:u w:val="none"/>
        </w:rPr>
        <w:t xml:space="preserve"> </w:t>
      </w:r>
      <w:r w:rsidRPr="007056DF">
        <w:rPr>
          <w:rFonts w:ascii="Arial Black" w:hAnsi="Arial Black"/>
          <w:b/>
          <w:caps/>
          <w:color w:val="C00000"/>
          <w:u w:val="none"/>
        </w:rPr>
        <w:t>Logic Model</w:t>
      </w:r>
      <w:r>
        <w:rPr>
          <w:rFonts w:ascii="Arial Black" w:hAnsi="Arial Black"/>
          <w:b/>
          <w:caps/>
          <w:color w:val="C00000"/>
          <w:u w:val="none"/>
        </w:rPr>
        <w:t xml:space="preserve">: </w:t>
      </w:r>
      <w:r w:rsidRPr="00ED7D4F">
        <w:rPr>
          <w:rFonts w:ascii="Arial Black" w:hAnsi="Arial Black"/>
          <w:b/>
          <w:bCs/>
          <w:caps/>
          <w:color w:val="00539B"/>
          <w:u w:val="none"/>
        </w:rPr>
        <w:t xml:space="preserve"> </w:t>
      </w:r>
      <w:r w:rsidRPr="00A830D7">
        <w:rPr>
          <w:rFonts w:ascii="Arial Black" w:hAnsi="Arial Black"/>
          <w:b/>
          <w:bCs/>
          <w:caps/>
          <w:color w:val="00539B"/>
          <w:u w:val="none"/>
        </w:rPr>
        <w:t>Pedestrian Injury Prevention Action Team Program</w:t>
      </w:r>
      <w:bookmarkStart w:id="0" w:name="_GoBack"/>
      <w:bookmarkEnd w:id="0"/>
    </w:p>
    <w:sectPr w:rsidR="00947274" w:rsidRPr="007056DF" w:rsidSect="00C07BE4">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4E" w:rsidRDefault="002A564E" w:rsidP="00EC7667">
      <w:r>
        <w:separator/>
      </w:r>
    </w:p>
  </w:endnote>
  <w:endnote w:type="continuationSeparator" w:id="0">
    <w:p w:rsidR="002A564E" w:rsidRDefault="002A564E" w:rsidP="00EC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4E" w:rsidRDefault="002A564E" w:rsidP="00EC7667">
      <w:r>
        <w:separator/>
      </w:r>
    </w:p>
  </w:footnote>
  <w:footnote w:type="continuationSeparator" w:id="0">
    <w:p w:rsidR="002A564E" w:rsidRDefault="002A564E" w:rsidP="00EC7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ECC"/>
    <w:multiLevelType w:val="hybridMultilevel"/>
    <w:tmpl w:val="CC440ADC"/>
    <w:lvl w:ilvl="0" w:tplc="1158A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05B3"/>
    <w:multiLevelType w:val="hybridMultilevel"/>
    <w:tmpl w:val="AD0C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92361"/>
    <w:multiLevelType w:val="hybridMultilevel"/>
    <w:tmpl w:val="13760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D0232"/>
    <w:multiLevelType w:val="hybridMultilevel"/>
    <w:tmpl w:val="1F60E5E0"/>
    <w:lvl w:ilvl="0" w:tplc="50424AD8">
      <w:start w:val="1"/>
      <w:numFmt w:val="bullet"/>
      <w:lvlText w:val=""/>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540B0"/>
    <w:multiLevelType w:val="multilevel"/>
    <w:tmpl w:val="4528A45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E5428E"/>
    <w:multiLevelType w:val="hybridMultilevel"/>
    <w:tmpl w:val="BA06F98C"/>
    <w:lvl w:ilvl="0" w:tplc="60EA549E">
      <w:start w:val="1"/>
      <w:numFmt w:val="bullet"/>
      <w:lvlText w:val=""/>
      <w:lvlJc w:val="left"/>
      <w:pPr>
        <w:ind w:left="720" w:hanging="360"/>
      </w:pPr>
      <w:rPr>
        <w:rFonts w:ascii="Symbol" w:hAnsi="Symbol" w:hint="default"/>
        <w:color w:val="00539B"/>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337F"/>
    <w:multiLevelType w:val="hybridMultilevel"/>
    <w:tmpl w:val="B518C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848CB"/>
    <w:multiLevelType w:val="hybridMultilevel"/>
    <w:tmpl w:val="1FC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333C"/>
    <w:multiLevelType w:val="hybridMultilevel"/>
    <w:tmpl w:val="72C678C0"/>
    <w:lvl w:ilvl="0" w:tplc="1158A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E620C"/>
    <w:multiLevelType w:val="hybridMultilevel"/>
    <w:tmpl w:val="5B2C0C2E"/>
    <w:lvl w:ilvl="0" w:tplc="50424AD8">
      <w:start w:val="1"/>
      <w:numFmt w:val="bullet"/>
      <w:lvlText w:val=""/>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F3751"/>
    <w:multiLevelType w:val="hybridMultilevel"/>
    <w:tmpl w:val="A3E4C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812E4"/>
    <w:multiLevelType w:val="hybridMultilevel"/>
    <w:tmpl w:val="C8E6C69C"/>
    <w:lvl w:ilvl="0" w:tplc="B5F026A2">
      <w:start w:val="1"/>
      <w:numFmt w:val="bullet"/>
      <w:lvlText w:val=""/>
      <w:lvlJc w:val="left"/>
      <w:pPr>
        <w:tabs>
          <w:tab w:val="num" w:pos="830"/>
        </w:tabs>
        <w:ind w:left="830" w:hanging="360"/>
      </w:pPr>
      <w:rPr>
        <w:rFonts w:ascii="Symbol" w:hAnsi="Symbol" w:hint="default"/>
        <w:sz w:val="16"/>
        <w:szCs w:val="16"/>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12" w15:restartNumberingAfterBreak="0">
    <w:nsid w:val="307A71A9"/>
    <w:multiLevelType w:val="hybridMultilevel"/>
    <w:tmpl w:val="B8726E9A"/>
    <w:lvl w:ilvl="0" w:tplc="ED7404A2">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9C522B"/>
    <w:multiLevelType w:val="hybridMultilevel"/>
    <w:tmpl w:val="E020EF50"/>
    <w:lvl w:ilvl="0" w:tplc="1158A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93D0B"/>
    <w:multiLevelType w:val="hybridMultilevel"/>
    <w:tmpl w:val="1FB4BF68"/>
    <w:lvl w:ilvl="0" w:tplc="04090001">
      <w:start w:val="1"/>
      <w:numFmt w:val="bullet"/>
      <w:lvlText w:val=""/>
      <w:lvlJc w:val="left"/>
      <w:pPr>
        <w:ind w:left="156" w:hanging="360"/>
      </w:pPr>
      <w:rPr>
        <w:rFonts w:ascii="Symbol" w:hAnsi="Symbol" w:hint="default"/>
      </w:rPr>
    </w:lvl>
    <w:lvl w:ilvl="1" w:tplc="04090003" w:tentative="1">
      <w:start w:val="1"/>
      <w:numFmt w:val="bullet"/>
      <w:lvlText w:val="o"/>
      <w:lvlJc w:val="left"/>
      <w:pPr>
        <w:ind w:left="876" w:hanging="360"/>
      </w:pPr>
      <w:rPr>
        <w:rFonts w:ascii="Courier New" w:hAnsi="Courier New" w:cs="Courier New" w:hint="default"/>
      </w:rPr>
    </w:lvl>
    <w:lvl w:ilvl="2" w:tplc="04090005" w:tentative="1">
      <w:start w:val="1"/>
      <w:numFmt w:val="bullet"/>
      <w:lvlText w:val=""/>
      <w:lvlJc w:val="left"/>
      <w:pPr>
        <w:ind w:left="1596" w:hanging="360"/>
      </w:pPr>
      <w:rPr>
        <w:rFonts w:ascii="Wingdings" w:hAnsi="Wingdings" w:hint="default"/>
      </w:rPr>
    </w:lvl>
    <w:lvl w:ilvl="3" w:tplc="04090001" w:tentative="1">
      <w:start w:val="1"/>
      <w:numFmt w:val="bullet"/>
      <w:lvlText w:val=""/>
      <w:lvlJc w:val="left"/>
      <w:pPr>
        <w:ind w:left="2316" w:hanging="360"/>
      </w:pPr>
      <w:rPr>
        <w:rFonts w:ascii="Symbol" w:hAnsi="Symbol" w:hint="default"/>
      </w:rPr>
    </w:lvl>
    <w:lvl w:ilvl="4" w:tplc="04090003" w:tentative="1">
      <w:start w:val="1"/>
      <w:numFmt w:val="bullet"/>
      <w:lvlText w:val="o"/>
      <w:lvlJc w:val="left"/>
      <w:pPr>
        <w:ind w:left="3036" w:hanging="360"/>
      </w:pPr>
      <w:rPr>
        <w:rFonts w:ascii="Courier New" w:hAnsi="Courier New" w:cs="Courier New" w:hint="default"/>
      </w:rPr>
    </w:lvl>
    <w:lvl w:ilvl="5" w:tplc="04090005" w:tentative="1">
      <w:start w:val="1"/>
      <w:numFmt w:val="bullet"/>
      <w:lvlText w:val=""/>
      <w:lvlJc w:val="left"/>
      <w:pPr>
        <w:ind w:left="3756" w:hanging="360"/>
      </w:pPr>
      <w:rPr>
        <w:rFonts w:ascii="Wingdings" w:hAnsi="Wingdings" w:hint="default"/>
      </w:rPr>
    </w:lvl>
    <w:lvl w:ilvl="6" w:tplc="04090001" w:tentative="1">
      <w:start w:val="1"/>
      <w:numFmt w:val="bullet"/>
      <w:lvlText w:val=""/>
      <w:lvlJc w:val="left"/>
      <w:pPr>
        <w:ind w:left="4476" w:hanging="360"/>
      </w:pPr>
      <w:rPr>
        <w:rFonts w:ascii="Symbol" w:hAnsi="Symbol" w:hint="default"/>
      </w:rPr>
    </w:lvl>
    <w:lvl w:ilvl="7" w:tplc="04090003" w:tentative="1">
      <w:start w:val="1"/>
      <w:numFmt w:val="bullet"/>
      <w:lvlText w:val="o"/>
      <w:lvlJc w:val="left"/>
      <w:pPr>
        <w:ind w:left="5196" w:hanging="360"/>
      </w:pPr>
      <w:rPr>
        <w:rFonts w:ascii="Courier New" w:hAnsi="Courier New" w:cs="Courier New" w:hint="default"/>
      </w:rPr>
    </w:lvl>
    <w:lvl w:ilvl="8" w:tplc="04090005" w:tentative="1">
      <w:start w:val="1"/>
      <w:numFmt w:val="bullet"/>
      <w:lvlText w:val=""/>
      <w:lvlJc w:val="left"/>
      <w:pPr>
        <w:ind w:left="5916" w:hanging="360"/>
      </w:pPr>
      <w:rPr>
        <w:rFonts w:ascii="Wingdings" w:hAnsi="Wingdings" w:hint="default"/>
      </w:rPr>
    </w:lvl>
  </w:abstractNum>
  <w:abstractNum w:abstractNumId="15" w15:restartNumberingAfterBreak="0">
    <w:nsid w:val="3DDB306A"/>
    <w:multiLevelType w:val="hybridMultilevel"/>
    <w:tmpl w:val="FE580F12"/>
    <w:lvl w:ilvl="0" w:tplc="FFFFFFFF">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939A5"/>
    <w:multiLevelType w:val="hybridMultilevel"/>
    <w:tmpl w:val="AC78FAA8"/>
    <w:lvl w:ilvl="0" w:tplc="B894AC8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613969"/>
    <w:multiLevelType w:val="hybridMultilevel"/>
    <w:tmpl w:val="314EFA16"/>
    <w:lvl w:ilvl="0" w:tplc="C31E0A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87BCA"/>
    <w:multiLevelType w:val="hybridMultilevel"/>
    <w:tmpl w:val="C9A0751C"/>
    <w:lvl w:ilvl="0" w:tplc="B894AC8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44483F"/>
    <w:multiLevelType w:val="hybridMultilevel"/>
    <w:tmpl w:val="B4940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B0421"/>
    <w:multiLevelType w:val="hybridMultilevel"/>
    <w:tmpl w:val="2F180CCA"/>
    <w:lvl w:ilvl="0" w:tplc="1158A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97F4F"/>
    <w:multiLevelType w:val="hybridMultilevel"/>
    <w:tmpl w:val="E11A6286"/>
    <w:lvl w:ilvl="0" w:tplc="A7444DAC">
      <w:start w:val="1"/>
      <w:numFmt w:val="bullet"/>
      <w:lvlText w:val=""/>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56052"/>
    <w:multiLevelType w:val="hybridMultilevel"/>
    <w:tmpl w:val="036479AE"/>
    <w:lvl w:ilvl="0" w:tplc="60EA549E">
      <w:start w:val="1"/>
      <w:numFmt w:val="bullet"/>
      <w:lvlText w:val=""/>
      <w:lvlJc w:val="left"/>
      <w:pPr>
        <w:ind w:left="900" w:hanging="360"/>
      </w:pPr>
      <w:rPr>
        <w:rFonts w:ascii="Symbol" w:hAnsi="Symbol" w:hint="default"/>
        <w:color w:val="00539B"/>
        <w:sz w:val="17"/>
        <w:szCs w:val="17"/>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92530E7"/>
    <w:multiLevelType w:val="hybridMultilevel"/>
    <w:tmpl w:val="A86CAD50"/>
    <w:lvl w:ilvl="0" w:tplc="B894AC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0601E5"/>
    <w:multiLevelType w:val="hybridMultilevel"/>
    <w:tmpl w:val="5DA878EE"/>
    <w:lvl w:ilvl="0" w:tplc="EF4CDC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B530FE"/>
    <w:multiLevelType w:val="hybridMultilevel"/>
    <w:tmpl w:val="5560C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02AC4"/>
    <w:multiLevelType w:val="hybridMultilevel"/>
    <w:tmpl w:val="581C93A6"/>
    <w:lvl w:ilvl="0" w:tplc="C31E0A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B4924"/>
    <w:multiLevelType w:val="multilevel"/>
    <w:tmpl w:val="BB34641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CD3ABF"/>
    <w:multiLevelType w:val="hybridMultilevel"/>
    <w:tmpl w:val="0D40AEDC"/>
    <w:lvl w:ilvl="0" w:tplc="B5F026A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D217F7"/>
    <w:multiLevelType w:val="hybridMultilevel"/>
    <w:tmpl w:val="94EA836E"/>
    <w:lvl w:ilvl="0" w:tplc="A7444DAC">
      <w:start w:val="1"/>
      <w:numFmt w:val="bullet"/>
      <w:lvlText w:val=""/>
      <w:lvlJc w:val="left"/>
      <w:pPr>
        <w:ind w:left="900" w:hanging="360"/>
      </w:pPr>
      <w:rPr>
        <w:rFonts w:ascii="Symbol" w:hAnsi="Symbol" w:hint="default"/>
        <w:sz w:val="17"/>
        <w:szCs w:val="17"/>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7F010DC"/>
    <w:multiLevelType w:val="hybridMultilevel"/>
    <w:tmpl w:val="55482750"/>
    <w:lvl w:ilvl="0" w:tplc="A7444DAC">
      <w:start w:val="1"/>
      <w:numFmt w:val="bullet"/>
      <w:lvlText w:val=""/>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07F5A"/>
    <w:multiLevelType w:val="hybridMultilevel"/>
    <w:tmpl w:val="5FD629DA"/>
    <w:lvl w:ilvl="0" w:tplc="60EA549E">
      <w:start w:val="1"/>
      <w:numFmt w:val="bullet"/>
      <w:lvlText w:val=""/>
      <w:lvlJc w:val="left"/>
      <w:pPr>
        <w:ind w:left="720" w:hanging="360"/>
      </w:pPr>
      <w:rPr>
        <w:rFonts w:ascii="Symbol" w:hAnsi="Symbol" w:hint="default"/>
        <w:color w:val="00539B"/>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C1991"/>
    <w:multiLevelType w:val="hybridMultilevel"/>
    <w:tmpl w:val="9CBA30EE"/>
    <w:lvl w:ilvl="0" w:tplc="1158A2BC">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6"/>
  </w:num>
  <w:num w:numId="2">
    <w:abstractNumId w:val="28"/>
  </w:num>
  <w:num w:numId="3">
    <w:abstractNumId w:val="11"/>
  </w:num>
  <w:num w:numId="4">
    <w:abstractNumId w:val="15"/>
  </w:num>
  <w:num w:numId="5">
    <w:abstractNumId w:val="12"/>
  </w:num>
  <w:num w:numId="6">
    <w:abstractNumId w:val="4"/>
  </w:num>
  <w:num w:numId="7">
    <w:abstractNumId w:val="24"/>
  </w:num>
  <w:num w:numId="8">
    <w:abstractNumId w:val="27"/>
  </w:num>
  <w:num w:numId="9">
    <w:abstractNumId w:val="32"/>
  </w:num>
  <w:num w:numId="10">
    <w:abstractNumId w:val="16"/>
  </w:num>
  <w:num w:numId="11">
    <w:abstractNumId w:val="23"/>
  </w:num>
  <w:num w:numId="12">
    <w:abstractNumId w:val="18"/>
  </w:num>
  <w:num w:numId="13">
    <w:abstractNumId w:val="8"/>
  </w:num>
  <w:num w:numId="14">
    <w:abstractNumId w:val="0"/>
  </w:num>
  <w:num w:numId="15">
    <w:abstractNumId w:val="19"/>
  </w:num>
  <w:num w:numId="16">
    <w:abstractNumId w:val="13"/>
  </w:num>
  <w:num w:numId="17">
    <w:abstractNumId w:val="20"/>
  </w:num>
  <w:num w:numId="18">
    <w:abstractNumId w:val="10"/>
  </w:num>
  <w:num w:numId="19">
    <w:abstractNumId w:val="25"/>
  </w:num>
  <w:num w:numId="20">
    <w:abstractNumId w:val="2"/>
  </w:num>
  <w:num w:numId="21">
    <w:abstractNumId w:val="1"/>
  </w:num>
  <w:num w:numId="22">
    <w:abstractNumId w:val="14"/>
  </w:num>
  <w:num w:numId="23">
    <w:abstractNumId w:val="21"/>
  </w:num>
  <w:num w:numId="24">
    <w:abstractNumId w:val="29"/>
  </w:num>
  <w:num w:numId="25">
    <w:abstractNumId w:val="30"/>
  </w:num>
  <w:num w:numId="26">
    <w:abstractNumId w:val="7"/>
  </w:num>
  <w:num w:numId="27">
    <w:abstractNumId w:val="3"/>
  </w:num>
  <w:num w:numId="28">
    <w:abstractNumId w:val="9"/>
  </w:num>
  <w:num w:numId="29">
    <w:abstractNumId w:val="26"/>
  </w:num>
  <w:num w:numId="30">
    <w:abstractNumId w:val="17"/>
  </w:num>
  <w:num w:numId="31">
    <w:abstractNumId w:val="31"/>
  </w:num>
  <w:num w:numId="32">
    <w:abstractNumId w:val="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D17DC"/>
    <w:rsid w:val="000015D7"/>
    <w:rsid w:val="00005FA9"/>
    <w:rsid w:val="00012F9C"/>
    <w:rsid w:val="000134EB"/>
    <w:rsid w:val="00017A78"/>
    <w:rsid w:val="00021CDD"/>
    <w:rsid w:val="00022A01"/>
    <w:rsid w:val="00030525"/>
    <w:rsid w:val="00030AF7"/>
    <w:rsid w:val="00031734"/>
    <w:rsid w:val="0003655D"/>
    <w:rsid w:val="000437CA"/>
    <w:rsid w:val="00052935"/>
    <w:rsid w:val="00054063"/>
    <w:rsid w:val="0005454E"/>
    <w:rsid w:val="00057B4B"/>
    <w:rsid w:val="00060E6E"/>
    <w:rsid w:val="00070675"/>
    <w:rsid w:val="00074330"/>
    <w:rsid w:val="000811A0"/>
    <w:rsid w:val="000815BD"/>
    <w:rsid w:val="000843E8"/>
    <w:rsid w:val="00095BDE"/>
    <w:rsid w:val="000A245D"/>
    <w:rsid w:val="000A6E8C"/>
    <w:rsid w:val="000B6C38"/>
    <w:rsid w:val="000B7E14"/>
    <w:rsid w:val="000C44AC"/>
    <w:rsid w:val="000C5426"/>
    <w:rsid w:val="000D4414"/>
    <w:rsid w:val="000D6530"/>
    <w:rsid w:val="000D70DA"/>
    <w:rsid w:val="000E5496"/>
    <w:rsid w:val="000F65EB"/>
    <w:rsid w:val="00111069"/>
    <w:rsid w:val="001124A3"/>
    <w:rsid w:val="00135515"/>
    <w:rsid w:val="00140757"/>
    <w:rsid w:val="0014173F"/>
    <w:rsid w:val="00143442"/>
    <w:rsid w:val="00145C7E"/>
    <w:rsid w:val="0015795A"/>
    <w:rsid w:val="00163B13"/>
    <w:rsid w:val="00171356"/>
    <w:rsid w:val="00173993"/>
    <w:rsid w:val="00180DBB"/>
    <w:rsid w:val="00183086"/>
    <w:rsid w:val="00184D4F"/>
    <w:rsid w:val="001A0BB8"/>
    <w:rsid w:val="001A54A7"/>
    <w:rsid w:val="001A55DD"/>
    <w:rsid w:val="001A79A1"/>
    <w:rsid w:val="001C32E2"/>
    <w:rsid w:val="001C4841"/>
    <w:rsid w:val="001C647D"/>
    <w:rsid w:val="001D0630"/>
    <w:rsid w:val="001D0E3B"/>
    <w:rsid w:val="001D2621"/>
    <w:rsid w:val="001D68D6"/>
    <w:rsid w:val="001E04F0"/>
    <w:rsid w:val="001F4857"/>
    <w:rsid w:val="00225D57"/>
    <w:rsid w:val="002267BA"/>
    <w:rsid w:val="00231F1A"/>
    <w:rsid w:val="00243897"/>
    <w:rsid w:val="00244B75"/>
    <w:rsid w:val="00257493"/>
    <w:rsid w:val="00283505"/>
    <w:rsid w:val="00283F3F"/>
    <w:rsid w:val="002878E6"/>
    <w:rsid w:val="00287AB7"/>
    <w:rsid w:val="002A0FC1"/>
    <w:rsid w:val="002A564E"/>
    <w:rsid w:val="002C2644"/>
    <w:rsid w:val="002C659B"/>
    <w:rsid w:val="002D4AB5"/>
    <w:rsid w:val="002D62B1"/>
    <w:rsid w:val="002F0305"/>
    <w:rsid w:val="00301F10"/>
    <w:rsid w:val="00315DCA"/>
    <w:rsid w:val="0031683D"/>
    <w:rsid w:val="00325581"/>
    <w:rsid w:val="00343B92"/>
    <w:rsid w:val="003464A6"/>
    <w:rsid w:val="00347AE6"/>
    <w:rsid w:val="00350844"/>
    <w:rsid w:val="0035232F"/>
    <w:rsid w:val="00360C6E"/>
    <w:rsid w:val="00367968"/>
    <w:rsid w:val="00372742"/>
    <w:rsid w:val="00373BBE"/>
    <w:rsid w:val="003821E3"/>
    <w:rsid w:val="00383C8B"/>
    <w:rsid w:val="003A248C"/>
    <w:rsid w:val="003C2D09"/>
    <w:rsid w:val="003D139A"/>
    <w:rsid w:val="003D7C7C"/>
    <w:rsid w:val="003E17FB"/>
    <w:rsid w:val="003F0A64"/>
    <w:rsid w:val="00420DDA"/>
    <w:rsid w:val="00424F20"/>
    <w:rsid w:val="004410A5"/>
    <w:rsid w:val="00442266"/>
    <w:rsid w:val="00442B6A"/>
    <w:rsid w:val="004517C1"/>
    <w:rsid w:val="00453C3E"/>
    <w:rsid w:val="00455EA0"/>
    <w:rsid w:val="00471EF9"/>
    <w:rsid w:val="00473F06"/>
    <w:rsid w:val="004852F3"/>
    <w:rsid w:val="0049404C"/>
    <w:rsid w:val="00496866"/>
    <w:rsid w:val="004B3570"/>
    <w:rsid w:val="004B38B3"/>
    <w:rsid w:val="004B766C"/>
    <w:rsid w:val="004C2B4F"/>
    <w:rsid w:val="004D2CD4"/>
    <w:rsid w:val="004D49EB"/>
    <w:rsid w:val="004D61B8"/>
    <w:rsid w:val="004D6295"/>
    <w:rsid w:val="004F40A2"/>
    <w:rsid w:val="005004F0"/>
    <w:rsid w:val="00512EAD"/>
    <w:rsid w:val="00516C61"/>
    <w:rsid w:val="00523FFA"/>
    <w:rsid w:val="0052550A"/>
    <w:rsid w:val="00533D79"/>
    <w:rsid w:val="005340AE"/>
    <w:rsid w:val="00536D61"/>
    <w:rsid w:val="00545C12"/>
    <w:rsid w:val="00546068"/>
    <w:rsid w:val="00550EBE"/>
    <w:rsid w:val="005529F9"/>
    <w:rsid w:val="00563476"/>
    <w:rsid w:val="00574FF8"/>
    <w:rsid w:val="00584618"/>
    <w:rsid w:val="00590190"/>
    <w:rsid w:val="005B1777"/>
    <w:rsid w:val="005C46C7"/>
    <w:rsid w:val="005D28F1"/>
    <w:rsid w:val="005D5ECA"/>
    <w:rsid w:val="005D646D"/>
    <w:rsid w:val="005E2915"/>
    <w:rsid w:val="005F67B8"/>
    <w:rsid w:val="00600383"/>
    <w:rsid w:val="00610F79"/>
    <w:rsid w:val="006135EE"/>
    <w:rsid w:val="00615136"/>
    <w:rsid w:val="00615F3B"/>
    <w:rsid w:val="00620231"/>
    <w:rsid w:val="00625D36"/>
    <w:rsid w:val="0066496B"/>
    <w:rsid w:val="00665D52"/>
    <w:rsid w:val="006679D8"/>
    <w:rsid w:val="00672008"/>
    <w:rsid w:val="00672654"/>
    <w:rsid w:val="00676F7E"/>
    <w:rsid w:val="006770BC"/>
    <w:rsid w:val="00681B5B"/>
    <w:rsid w:val="00690469"/>
    <w:rsid w:val="00695ED6"/>
    <w:rsid w:val="006A16D8"/>
    <w:rsid w:val="006A26BB"/>
    <w:rsid w:val="006B06D0"/>
    <w:rsid w:val="006B1F90"/>
    <w:rsid w:val="006B2446"/>
    <w:rsid w:val="006B4D11"/>
    <w:rsid w:val="006B6BD2"/>
    <w:rsid w:val="006C45E0"/>
    <w:rsid w:val="006C75A1"/>
    <w:rsid w:val="006D17DC"/>
    <w:rsid w:val="006D1B3F"/>
    <w:rsid w:val="006D2D07"/>
    <w:rsid w:val="00702960"/>
    <w:rsid w:val="007056DF"/>
    <w:rsid w:val="00710832"/>
    <w:rsid w:val="00712299"/>
    <w:rsid w:val="00712BDC"/>
    <w:rsid w:val="00722E26"/>
    <w:rsid w:val="00725904"/>
    <w:rsid w:val="00730668"/>
    <w:rsid w:val="00732459"/>
    <w:rsid w:val="00736F95"/>
    <w:rsid w:val="0073760F"/>
    <w:rsid w:val="007555FE"/>
    <w:rsid w:val="00756E94"/>
    <w:rsid w:val="00764C90"/>
    <w:rsid w:val="00766A91"/>
    <w:rsid w:val="007719E4"/>
    <w:rsid w:val="00772433"/>
    <w:rsid w:val="00772A2D"/>
    <w:rsid w:val="00783F07"/>
    <w:rsid w:val="007914C8"/>
    <w:rsid w:val="007940BD"/>
    <w:rsid w:val="00797B38"/>
    <w:rsid w:val="007A359A"/>
    <w:rsid w:val="007B5710"/>
    <w:rsid w:val="007C4A60"/>
    <w:rsid w:val="007E4695"/>
    <w:rsid w:val="007E77CA"/>
    <w:rsid w:val="007F4716"/>
    <w:rsid w:val="00802E97"/>
    <w:rsid w:val="00803C36"/>
    <w:rsid w:val="00806D56"/>
    <w:rsid w:val="008109C7"/>
    <w:rsid w:val="008238C2"/>
    <w:rsid w:val="0082553C"/>
    <w:rsid w:val="00825B7A"/>
    <w:rsid w:val="008276D5"/>
    <w:rsid w:val="00831135"/>
    <w:rsid w:val="00832A57"/>
    <w:rsid w:val="0084329C"/>
    <w:rsid w:val="00847583"/>
    <w:rsid w:val="0085204B"/>
    <w:rsid w:val="00852843"/>
    <w:rsid w:val="0086665D"/>
    <w:rsid w:val="008852C6"/>
    <w:rsid w:val="0088587F"/>
    <w:rsid w:val="008930A2"/>
    <w:rsid w:val="008A108D"/>
    <w:rsid w:val="008A4566"/>
    <w:rsid w:val="008A5B4A"/>
    <w:rsid w:val="008A69BD"/>
    <w:rsid w:val="008B1A36"/>
    <w:rsid w:val="008B593E"/>
    <w:rsid w:val="008B5D57"/>
    <w:rsid w:val="008C2157"/>
    <w:rsid w:val="008C3243"/>
    <w:rsid w:val="008C68B5"/>
    <w:rsid w:val="008C726C"/>
    <w:rsid w:val="008D4775"/>
    <w:rsid w:val="008D773E"/>
    <w:rsid w:val="008E053A"/>
    <w:rsid w:val="008E13FE"/>
    <w:rsid w:val="008F2C0B"/>
    <w:rsid w:val="008F4247"/>
    <w:rsid w:val="008F52EE"/>
    <w:rsid w:val="008F6970"/>
    <w:rsid w:val="00915780"/>
    <w:rsid w:val="009315A7"/>
    <w:rsid w:val="009318F0"/>
    <w:rsid w:val="00935C0E"/>
    <w:rsid w:val="00941098"/>
    <w:rsid w:val="00943379"/>
    <w:rsid w:val="00944061"/>
    <w:rsid w:val="00947274"/>
    <w:rsid w:val="009522AF"/>
    <w:rsid w:val="00954520"/>
    <w:rsid w:val="009671C8"/>
    <w:rsid w:val="009672EF"/>
    <w:rsid w:val="00967F69"/>
    <w:rsid w:val="00984A4F"/>
    <w:rsid w:val="009911A3"/>
    <w:rsid w:val="009E50E9"/>
    <w:rsid w:val="009F696C"/>
    <w:rsid w:val="009F7D81"/>
    <w:rsid w:val="00A03D4E"/>
    <w:rsid w:val="00A102AB"/>
    <w:rsid w:val="00A16F01"/>
    <w:rsid w:val="00A20503"/>
    <w:rsid w:val="00A20D35"/>
    <w:rsid w:val="00A230DA"/>
    <w:rsid w:val="00A306F8"/>
    <w:rsid w:val="00A41A10"/>
    <w:rsid w:val="00A521FE"/>
    <w:rsid w:val="00A52C34"/>
    <w:rsid w:val="00A65F91"/>
    <w:rsid w:val="00A818AD"/>
    <w:rsid w:val="00A830D7"/>
    <w:rsid w:val="00A83914"/>
    <w:rsid w:val="00A845B3"/>
    <w:rsid w:val="00A85ABB"/>
    <w:rsid w:val="00A870B1"/>
    <w:rsid w:val="00A9107D"/>
    <w:rsid w:val="00A92627"/>
    <w:rsid w:val="00A96CFD"/>
    <w:rsid w:val="00AA61CD"/>
    <w:rsid w:val="00AB1773"/>
    <w:rsid w:val="00AB5496"/>
    <w:rsid w:val="00AC0236"/>
    <w:rsid w:val="00AD20F8"/>
    <w:rsid w:val="00AD28E2"/>
    <w:rsid w:val="00AD3F33"/>
    <w:rsid w:val="00AE0F06"/>
    <w:rsid w:val="00AE40F3"/>
    <w:rsid w:val="00AE58FB"/>
    <w:rsid w:val="00AF1D31"/>
    <w:rsid w:val="00B10447"/>
    <w:rsid w:val="00B124E9"/>
    <w:rsid w:val="00B1353D"/>
    <w:rsid w:val="00B16F50"/>
    <w:rsid w:val="00B31342"/>
    <w:rsid w:val="00B40268"/>
    <w:rsid w:val="00B460DB"/>
    <w:rsid w:val="00B504DB"/>
    <w:rsid w:val="00B5635C"/>
    <w:rsid w:val="00B74DF1"/>
    <w:rsid w:val="00B828F1"/>
    <w:rsid w:val="00B86DF1"/>
    <w:rsid w:val="00B870E0"/>
    <w:rsid w:val="00B87B7A"/>
    <w:rsid w:val="00B90F89"/>
    <w:rsid w:val="00BA2288"/>
    <w:rsid w:val="00BB023B"/>
    <w:rsid w:val="00BB2064"/>
    <w:rsid w:val="00BB21BC"/>
    <w:rsid w:val="00BC48A9"/>
    <w:rsid w:val="00BC7317"/>
    <w:rsid w:val="00BD20B1"/>
    <w:rsid w:val="00BE48A8"/>
    <w:rsid w:val="00BE6299"/>
    <w:rsid w:val="00C07BE4"/>
    <w:rsid w:val="00C15542"/>
    <w:rsid w:val="00C16648"/>
    <w:rsid w:val="00C3467F"/>
    <w:rsid w:val="00C406DE"/>
    <w:rsid w:val="00C4622E"/>
    <w:rsid w:val="00C5004A"/>
    <w:rsid w:val="00C51157"/>
    <w:rsid w:val="00C512EF"/>
    <w:rsid w:val="00C52222"/>
    <w:rsid w:val="00C80008"/>
    <w:rsid w:val="00C8270A"/>
    <w:rsid w:val="00C83E3D"/>
    <w:rsid w:val="00C84D9F"/>
    <w:rsid w:val="00C91B29"/>
    <w:rsid w:val="00C942E1"/>
    <w:rsid w:val="00CA1D70"/>
    <w:rsid w:val="00CA2FBC"/>
    <w:rsid w:val="00CA3C3D"/>
    <w:rsid w:val="00CA77B1"/>
    <w:rsid w:val="00CC1BF2"/>
    <w:rsid w:val="00CC232F"/>
    <w:rsid w:val="00CD1BCA"/>
    <w:rsid w:val="00CE1FCD"/>
    <w:rsid w:val="00CF697F"/>
    <w:rsid w:val="00D010F4"/>
    <w:rsid w:val="00D172E3"/>
    <w:rsid w:val="00D263D1"/>
    <w:rsid w:val="00D269F8"/>
    <w:rsid w:val="00D41905"/>
    <w:rsid w:val="00D41A56"/>
    <w:rsid w:val="00D508C2"/>
    <w:rsid w:val="00D5160D"/>
    <w:rsid w:val="00D66C0A"/>
    <w:rsid w:val="00D71435"/>
    <w:rsid w:val="00D8158C"/>
    <w:rsid w:val="00D90FFD"/>
    <w:rsid w:val="00D95942"/>
    <w:rsid w:val="00DD1AF9"/>
    <w:rsid w:val="00DD3C98"/>
    <w:rsid w:val="00DF12C0"/>
    <w:rsid w:val="00DF67CD"/>
    <w:rsid w:val="00DF6E01"/>
    <w:rsid w:val="00E010AB"/>
    <w:rsid w:val="00E01191"/>
    <w:rsid w:val="00E079D2"/>
    <w:rsid w:val="00E1367E"/>
    <w:rsid w:val="00E35962"/>
    <w:rsid w:val="00E62411"/>
    <w:rsid w:val="00E6626D"/>
    <w:rsid w:val="00E96498"/>
    <w:rsid w:val="00EA4415"/>
    <w:rsid w:val="00EC06C6"/>
    <w:rsid w:val="00EC22D4"/>
    <w:rsid w:val="00EC6595"/>
    <w:rsid w:val="00EC7667"/>
    <w:rsid w:val="00ED66EA"/>
    <w:rsid w:val="00ED7D4F"/>
    <w:rsid w:val="00EE3181"/>
    <w:rsid w:val="00F0478A"/>
    <w:rsid w:val="00F13799"/>
    <w:rsid w:val="00F1712E"/>
    <w:rsid w:val="00F23EB7"/>
    <w:rsid w:val="00F257EA"/>
    <w:rsid w:val="00F30CFE"/>
    <w:rsid w:val="00F3552D"/>
    <w:rsid w:val="00F37CEC"/>
    <w:rsid w:val="00F45785"/>
    <w:rsid w:val="00F50508"/>
    <w:rsid w:val="00F50C40"/>
    <w:rsid w:val="00F510F1"/>
    <w:rsid w:val="00F56599"/>
    <w:rsid w:val="00F73DAB"/>
    <w:rsid w:val="00F73E57"/>
    <w:rsid w:val="00F77044"/>
    <w:rsid w:val="00F91C6E"/>
    <w:rsid w:val="00F93C2C"/>
    <w:rsid w:val="00FA19F4"/>
    <w:rsid w:val="00FB135A"/>
    <w:rsid w:val="00FC0F4E"/>
    <w:rsid w:val="00FC538F"/>
    <w:rsid w:val="00FC5D02"/>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f9">
      <v:fill color="#ff9"/>
      <o:colormru v:ext="edit" colors="#e0ded2,#9e5e61,#d8bcbd,#87b5e3"/>
      <o:colormenu v:ext="edit" fillcolor="#c00000"/>
    </o:shapedefaults>
    <o:shapelayout v:ext="edit">
      <o:idmap v:ext="edit" data="1"/>
    </o:shapelayout>
  </w:shapeDefaults>
  <w:decimalSymbol w:val="."/>
  <w:listSeparator w:val=","/>
  <w14:docId w14:val="1F3E3C58"/>
  <w15:docId w15:val="{2E16617D-28C0-48BC-A8B1-7AC45DBD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2B4F"/>
    <w:rPr>
      <w:sz w:val="24"/>
      <w:szCs w:val="24"/>
    </w:rPr>
  </w:style>
  <w:style w:type="paragraph" w:styleId="Heading1">
    <w:name w:val="heading 1"/>
    <w:basedOn w:val="Normal"/>
    <w:next w:val="Normal"/>
    <w:qFormat/>
    <w:rsid w:val="004C2B4F"/>
    <w:pPr>
      <w:keepNext/>
      <w:outlineLvl w:val="0"/>
    </w:pPr>
    <w:rPr>
      <w:rFonts w:ascii="Arial" w:hAnsi="Arial" w:cs="Arial"/>
      <w:b/>
      <w:bCs/>
    </w:rPr>
  </w:style>
  <w:style w:type="paragraph" w:styleId="Heading2">
    <w:name w:val="heading 2"/>
    <w:basedOn w:val="Normal"/>
    <w:next w:val="Normal"/>
    <w:qFormat/>
    <w:rsid w:val="004C2B4F"/>
    <w:pPr>
      <w:keepNext/>
      <w:tabs>
        <w:tab w:val="left" w:pos="4860"/>
      </w:tabs>
      <w:outlineLvl w:val="1"/>
    </w:pPr>
    <w:rPr>
      <w:rFonts w:ascii="Arial" w:hAnsi="Arial" w:cs="Arial"/>
      <w:u w:val="single"/>
    </w:rPr>
  </w:style>
  <w:style w:type="paragraph" w:styleId="Heading3">
    <w:name w:val="heading 3"/>
    <w:basedOn w:val="Normal"/>
    <w:next w:val="Normal"/>
    <w:qFormat/>
    <w:rsid w:val="004C2B4F"/>
    <w:pPr>
      <w:keepNext/>
      <w:tabs>
        <w:tab w:val="left" w:pos="8130"/>
      </w:tabs>
      <w:outlineLvl w:val="2"/>
    </w:pPr>
    <w:rPr>
      <w:rFonts w:ascii="Arial" w:hAnsi="Arial" w:cs="Arial"/>
      <w:b/>
      <w:bCs/>
      <w:sz w:val="20"/>
    </w:rPr>
  </w:style>
  <w:style w:type="paragraph" w:styleId="Heading4">
    <w:name w:val="heading 4"/>
    <w:basedOn w:val="Normal"/>
    <w:next w:val="Normal"/>
    <w:qFormat/>
    <w:rsid w:val="004C2B4F"/>
    <w:pPr>
      <w:keepNext/>
      <w:jc w:val="center"/>
      <w:outlineLvl w:val="3"/>
    </w:pPr>
    <w:rPr>
      <w:rFonts w:ascii="Arial Narrow" w:hAnsi="Arial Narrow" w:cs="Arial"/>
      <w:b/>
      <w:sz w:val="16"/>
      <w:szCs w:val="16"/>
    </w:rPr>
  </w:style>
  <w:style w:type="paragraph" w:styleId="Heading5">
    <w:name w:val="heading 5"/>
    <w:basedOn w:val="Normal"/>
    <w:next w:val="Normal"/>
    <w:qFormat/>
    <w:rsid w:val="004C2B4F"/>
    <w:pPr>
      <w:keepNext/>
      <w:outlineLvl w:val="4"/>
    </w:pPr>
    <w:rPr>
      <w:rFonts w:ascii="Arial Narrow" w:hAnsi="Arial Narrow"/>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2B4F"/>
    <w:rPr>
      <w:rFonts w:ascii="Arial" w:hAnsi="Arial" w:cs="Arial"/>
      <w:sz w:val="20"/>
    </w:rPr>
  </w:style>
  <w:style w:type="paragraph" w:styleId="BodyText2">
    <w:name w:val="Body Text 2"/>
    <w:basedOn w:val="Normal"/>
    <w:rsid w:val="004C2B4F"/>
    <w:rPr>
      <w:rFonts w:ascii="Arial" w:hAnsi="Arial" w:cs="Arial"/>
      <w:sz w:val="18"/>
    </w:rPr>
  </w:style>
  <w:style w:type="paragraph" w:styleId="BodyText3">
    <w:name w:val="Body Text 3"/>
    <w:basedOn w:val="Normal"/>
    <w:rsid w:val="004C2B4F"/>
    <w:rPr>
      <w:rFonts w:ascii="Arial" w:hAnsi="Arial" w:cs="Arial"/>
      <w:sz w:val="16"/>
    </w:rPr>
  </w:style>
  <w:style w:type="paragraph" w:customStyle="1" w:styleId="Default">
    <w:name w:val="Default"/>
    <w:rsid w:val="004C2B4F"/>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4C2B4F"/>
    <w:rPr>
      <w:rFonts w:ascii="Tahoma" w:hAnsi="Tahoma" w:cs="Tahoma"/>
      <w:sz w:val="16"/>
      <w:szCs w:val="16"/>
    </w:rPr>
  </w:style>
  <w:style w:type="paragraph" w:styleId="Header">
    <w:name w:val="header"/>
    <w:basedOn w:val="Normal"/>
    <w:link w:val="HeaderChar"/>
    <w:rsid w:val="00EC7667"/>
    <w:pPr>
      <w:tabs>
        <w:tab w:val="center" w:pos="4680"/>
        <w:tab w:val="right" w:pos="9360"/>
      </w:tabs>
    </w:pPr>
  </w:style>
  <w:style w:type="character" w:customStyle="1" w:styleId="HeaderChar">
    <w:name w:val="Header Char"/>
    <w:basedOn w:val="DefaultParagraphFont"/>
    <w:link w:val="Header"/>
    <w:rsid w:val="00EC7667"/>
    <w:rPr>
      <w:sz w:val="24"/>
      <w:szCs w:val="24"/>
    </w:rPr>
  </w:style>
  <w:style w:type="paragraph" w:styleId="Footer">
    <w:name w:val="footer"/>
    <w:basedOn w:val="Normal"/>
    <w:link w:val="FooterChar"/>
    <w:rsid w:val="00EC7667"/>
    <w:pPr>
      <w:tabs>
        <w:tab w:val="center" w:pos="4680"/>
        <w:tab w:val="right" w:pos="9360"/>
      </w:tabs>
    </w:pPr>
  </w:style>
  <w:style w:type="character" w:customStyle="1" w:styleId="FooterChar">
    <w:name w:val="Footer Char"/>
    <w:basedOn w:val="DefaultParagraphFont"/>
    <w:link w:val="Footer"/>
    <w:rsid w:val="00EC7667"/>
    <w:rPr>
      <w:sz w:val="24"/>
      <w:szCs w:val="24"/>
    </w:rPr>
  </w:style>
  <w:style w:type="paragraph" w:styleId="ListParagraph">
    <w:name w:val="List Paragraph"/>
    <w:basedOn w:val="Normal"/>
    <w:uiPriority w:val="34"/>
    <w:qFormat/>
    <w:rsid w:val="004F40A2"/>
    <w:pPr>
      <w:ind w:left="720"/>
      <w:contextualSpacing/>
    </w:pPr>
  </w:style>
  <w:style w:type="character" w:styleId="Hyperlink">
    <w:name w:val="Hyperlink"/>
    <w:basedOn w:val="DefaultParagraphFont"/>
    <w:rsid w:val="00F04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FORMULA GRANTS- Program Area #14</vt:lpstr>
    </vt:vector>
  </TitlesOfParts>
  <Company>DSG, Inc.</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 GRANTS- Program Area #14</dc:title>
  <dc:creator>LReynolds</dc:creator>
  <cp:lastModifiedBy>Jamila Porter</cp:lastModifiedBy>
  <cp:revision>3</cp:revision>
  <cp:lastPrinted>2015-11-17T22:41:00Z</cp:lastPrinted>
  <dcterms:created xsi:type="dcterms:W3CDTF">2017-07-11T02:22:00Z</dcterms:created>
  <dcterms:modified xsi:type="dcterms:W3CDTF">2017-07-11T02:22:00Z</dcterms:modified>
</cp:coreProperties>
</file>